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0A9A1" w14:textId="4CAA30CA" w:rsidR="007A52E0" w:rsidRPr="007A52E0" w:rsidRDefault="007A52E0" w:rsidP="00AF4C7D">
      <w:pPr>
        <w:pStyle w:val="Heading1"/>
      </w:pPr>
      <w:r w:rsidRPr="007A52E0">
        <w:t>Purpose</w:t>
      </w:r>
      <w:r w:rsidR="00AF4C7D">
        <w:t xml:space="preserve"> </w:t>
      </w:r>
    </w:p>
    <w:p w14:paraId="354C56C9" w14:textId="772822B6" w:rsidR="00ED3872" w:rsidRDefault="00ED3872" w:rsidP="00ED3872">
      <w:pPr>
        <w:jc w:val="left"/>
      </w:pPr>
      <w:r>
        <w:t xml:space="preserve">To describe the process of the OHS health monitoring at </w:t>
      </w:r>
      <w:r w:rsidR="00252D49">
        <w:t xml:space="preserve">the </w:t>
      </w:r>
      <w:r w:rsidR="00B300DB" w:rsidRPr="0039374A">
        <w:rPr>
          <w:color w:val="000000" w:themeColor="text1"/>
        </w:rPr>
        <w:t>Greater Dandenong City Council (GDCC)</w:t>
      </w:r>
      <w:r w:rsidR="00B300DB">
        <w:rPr>
          <w:color w:val="000000" w:themeColor="text1"/>
        </w:rPr>
        <w:t xml:space="preserve"> </w:t>
      </w:r>
      <w:r>
        <w:rPr>
          <w:color w:val="000000" w:themeColor="text1"/>
        </w:rPr>
        <w:t>through identification, monitoring and reporting</w:t>
      </w:r>
      <w:r w:rsidR="0059482D">
        <w:rPr>
          <w:color w:val="000000" w:themeColor="text1"/>
        </w:rPr>
        <w:t xml:space="preserve"> </w:t>
      </w:r>
      <w:r w:rsidR="0059482D" w:rsidRPr="00D73ECB">
        <w:rPr>
          <w:color w:val="000000" w:themeColor="text1"/>
        </w:rPr>
        <w:t>in relation to hazards and conditions prescribed in the OHS Act and Regulations</w:t>
      </w:r>
      <w:r w:rsidRPr="00D73ECB">
        <w:t>.</w:t>
      </w:r>
      <w:r w:rsidR="0059482D">
        <w:t xml:space="preserve"> </w:t>
      </w:r>
    </w:p>
    <w:p w14:paraId="0F1DDAA3" w14:textId="77777777" w:rsidR="007A52E0" w:rsidRPr="007A52E0" w:rsidRDefault="007A52E0" w:rsidP="00AF4C7D">
      <w:pPr>
        <w:pStyle w:val="Heading1"/>
      </w:pPr>
      <w:r w:rsidRPr="007A52E0">
        <w:t>Scope</w:t>
      </w:r>
    </w:p>
    <w:p w14:paraId="14DEDAAF" w14:textId="15D3B989" w:rsidR="00ED3872" w:rsidRDefault="00ED3872" w:rsidP="00ED3872">
      <w:pPr>
        <w:jc w:val="left"/>
      </w:pPr>
      <w:r>
        <w:t xml:space="preserve">This procedure applies to all employees, contractors, and volunteers at </w:t>
      </w:r>
      <w:r w:rsidR="00B300DB" w:rsidRPr="0039374A">
        <w:t>GDCC</w:t>
      </w:r>
      <w:r w:rsidR="00B300DB">
        <w:rPr>
          <w:color w:val="FF0000"/>
        </w:rPr>
        <w:t xml:space="preserve"> </w:t>
      </w:r>
      <w:r>
        <w:t>workplaces.</w:t>
      </w:r>
    </w:p>
    <w:p w14:paraId="0A24E091" w14:textId="77777777" w:rsidR="007A52E0" w:rsidRDefault="007A52E0" w:rsidP="00AF4C7D">
      <w:pPr>
        <w:pStyle w:val="Heading1"/>
      </w:pPr>
      <w:r w:rsidRPr="007A52E0">
        <w:t>Definitions</w:t>
      </w:r>
    </w:p>
    <w:p w14:paraId="587A3986" w14:textId="77777777" w:rsidR="00ED3872" w:rsidRDefault="00ED3872" w:rsidP="00ED3872">
      <w:pPr>
        <w:tabs>
          <w:tab w:val="left" w:pos="1050"/>
        </w:tabs>
        <w:jc w:val="left"/>
        <w:rPr>
          <w:b/>
        </w:rPr>
      </w:pPr>
      <w:r>
        <w:rPr>
          <w:b/>
        </w:rPr>
        <w:t xml:space="preserve">Hazardous Substances: </w:t>
      </w:r>
      <w:r>
        <w:t>Any substance, whether solid, liquid or gas, that may cause harm to human health. They are generally classified on the basis of their potential health effects, whether acute (immediate) or chronic (long-term).</w:t>
      </w:r>
    </w:p>
    <w:p w14:paraId="63FDB43A" w14:textId="77777777" w:rsidR="00ED3872" w:rsidRDefault="00ED3872" w:rsidP="00ED3872">
      <w:pPr>
        <w:jc w:val="left"/>
      </w:pPr>
      <w:r>
        <w:rPr>
          <w:b/>
        </w:rPr>
        <w:t>Health monitoring</w:t>
      </w:r>
      <w:r>
        <w:t xml:space="preserve">: monitoring a person to identify changes in their well-being. May include audiometric testing, medical examinations (including audiological examinations), and biological monitoring. </w:t>
      </w:r>
    </w:p>
    <w:p w14:paraId="319DEF90" w14:textId="77777777" w:rsidR="007A52E0" w:rsidRPr="007A52E0" w:rsidRDefault="007A52E0" w:rsidP="00AF4C7D">
      <w:pPr>
        <w:pStyle w:val="Heading1"/>
      </w:pPr>
      <w:r w:rsidRPr="007A52E0">
        <w:t>Responsibilities</w:t>
      </w:r>
    </w:p>
    <w:p w14:paraId="07F68478" w14:textId="4B844EC7" w:rsidR="00ED3872" w:rsidRDefault="00ED3872" w:rsidP="00ED3872">
      <w:r>
        <w:t xml:space="preserve">For general OHS responsibilities refer to </w:t>
      </w:r>
      <w:r w:rsidR="0039374A" w:rsidRPr="0039374A">
        <w:t>GDCC</w:t>
      </w:r>
      <w:r w:rsidR="0039374A">
        <w:t xml:space="preserve"> </w:t>
      </w:r>
      <w:r>
        <w:t>OHS Responsibility Procedure.</w:t>
      </w:r>
    </w:p>
    <w:p w14:paraId="5E158343" w14:textId="77777777" w:rsidR="00252D49" w:rsidRDefault="00252D49" w:rsidP="00ED3872">
      <w:pPr>
        <w:jc w:val="left"/>
      </w:pPr>
    </w:p>
    <w:p w14:paraId="1744B01C" w14:textId="316A9541" w:rsidR="00ED3872" w:rsidRDefault="00CA34A3" w:rsidP="00ED3872">
      <w:pPr>
        <w:jc w:val="left"/>
      </w:pPr>
      <w:r w:rsidRPr="0039374A">
        <w:t xml:space="preserve">Manager </w:t>
      </w:r>
      <w:r w:rsidR="007B3708" w:rsidRPr="00001171">
        <w:t>OHS</w:t>
      </w:r>
      <w:r w:rsidR="007B3708">
        <w:t xml:space="preserve"> </w:t>
      </w:r>
      <w:r w:rsidR="00ED3872">
        <w:t>is responsible for:</w:t>
      </w:r>
    </w:p>
    <w:p w14:paraId="4124E4B5" w14:textId="77777777" w:rsidR="00ED3872" w:rsidRDefault="00ED3872" w:rsidP="00F4751D">
      <w:pPr>
        <w:pStyle w:val="ListParagraph"/>
        <w:numPr>
          <w:ilvl w:val="0"/>
          <w:numId w:val="12"/>
        </w:numPr>
        <w:ind w:left="851" w:hanging="567"/>
        <w:contextualSpacing/>
        <w:jc w:val="left"/>
        <w:outlineLvl w:val="2"/>
      </w:pPr>
      <w:r>
        <w:t>identifying tasks and processes that may expose employees to health risks that require monitoring</w:t>
      </w:r>
    </w:p>
    <w:p w14:paraId="598C1099" w14:textId="77777777" w:rsidR="00ED3872" w:rsidRDefault="00ED3872" w:rsidP="00F4751D">
      <w:pPr>
        <w:pStyle w:val="ListParagraph"/>
        <w:numPr>
          <w:ilvl w:val="0"/>
          <w:numId w:val="12"/>
        </w:numPr>
        <w:ind w:left="851" w:hanging="567"/>
        <w:contextualSpacing/>
        <w:jc w:val="left"/>
        <w:outlineLvl w:val="2"/>
      </w:pPr>
      <w:r>
        <w:t>maintaining confidentiality of health records and advising employees of their individual health monitoring results</w:t>
      </w:r>
    </w:p>
    <w:p w14:paraId="6D659E63" w14:textId="77777777" w:rsidR="00ED3872" w:rsidRDefault="00ED3872" w:rsidP="00F4751D">
      <w:pPr>
        <w:pStyle w:val="ListParagraph"/>
        <w:numPr>
          <w:ilvl w:val="0"/>
          <w:numId w:val="12"/>
        </w:numPr>
        <w:ind w:left="851" w:hanging="567"/>
        <w:contextualSpacing/>
        <w:jc w:val="left"/>
        <w:outlineLvl w:val="2"/>
      </w:pPr>
      <w:r>
        <w:t xml:space="preserve">coordinating workplace monitoring and ensuring results are available to employees </w:t>
      </w:r>
    </w:p>
    <w:p w14:paraId="0EBC80DE" w14:textId="77777777" w:rsidR="006B5E1D" w:rsidRDefault="006B5E1D" w:rsidP="00ED3872">
      <w:pPr>
        <w:rPr>
          <w:b/>
        </w:rPr>
      </w:pPr>
    </w:p>
    <w:p w14:paraId="2B11CE58" w14:textId="77777777" w:rsidR="00ED3872" w:rsidRDefault="00ED3872" w:rsidP="00ED3872">
      <w:r>
        <w:rPr>
          <w:b/>
        </w:rPr>
        <w:t>Managers</w:t>
      </w:r>
      <w:r>
        <w:t xml:space="preserve"> are responsible for:</w:t>
      </w:r>
    </w:p>
    <w:p w14:paraId="3AAA782C" w14:textId="77777777" w:rsidR="006B5E1D" w:rsidRDefault="00ED3872" w:rsidP="00F4751D">
      <w:pPr>
        <w:pStyle w:val="ListParagraph"/>
        <w:numPr>
          <w:ilvl w:val="0"/>
          <w:numId w:val="12"/>
        </w:numPr>
        <w:ind w:left="851" w:hanging="567"/>
        <w:contextualSpacing/>
        <w:jc w:val="left"/>
        <w:outlineLvl w:val="2"/>
      </w:pPr>
      <w:r>
        <w:t>implementing the procedure in their area of responsibility</w:t>
      </w:r>
      <w:r w:rsidR="006B5E1D" w:rsidRPr="006B5E1D">
        <w:t xml:space="preserve"> </w:t>
      </w:r>
    </w:p>
    <w:p w14:paraId="404E1E0B" w14:textId="7B75FBD0" w:rsidR="006B5E1D" w:rsidRDefault="006B5E1D" w:rsidP="00F4751D">
      <w:pPr>
        <w:pStyle w:val="ListParagraph"/>
        <w:numPr>
          <w:ilvl w:val="0"/>
          <w:numId w:val="12"/>
        </w:numPr>
        <w:ind w:left="851" w:hanging="567"/>
        <w:contextualSpacing/>
        <w:jc w:val="left"/>
        <w:outlineLvl w:val="2"/>
      </w:pPr>
      <w:r>
        <w:t xml:space="preserve">implementing corrective actions when workplace monitoring regulatory or internal standards are exceeded in conjunction with </w:t>
      </w:r>
      <w:r w:rsidR="00CA34A3" w:rsidRPr="0039374A">
        <w:t xml:space="preserve">Manager </w:t>
      </w:r>
      <w:r w:rsidR="007B3708" w:rsidRPr="00001171">
        <w:t>OHS</w:t>
      </w:r>
    </w:p>
    <w:p w14:paraId="0FE3659D" w14:textId="1A811712" w:rsidR="006B5E1D" w:rsidRPr="006B5E1D" w:rsidRDefault="006B5E1D" w:rsidP="00F4751D">
      <w:pPr>
        <w:pStyle w:val="ListParagraph"/>
        <w:numPr>
          <w:ilvl w:val="0"/>
          <w:numId w:val="12"/>
        </w:numPr>
        <w:ind w:left="851" w:hanging="567"/>
        <w:contextualSpacing/>
        <w:jc w:val="left"/>
        <w:outlineLvl w:val="2"/>
        <w:rPr>
          <w:color w:val="000000" w:themeColor="text1"/>
        </w:rPr>
      </w:pPr>
      <w:r>
        <w:t xml:space="preserve">advising employees of potential exposures and risks in conjunction with </w:t>
      </w:r>
      <w:r w:rsidR="00CA34A3" w:rsidRPr="0039374A">
        <w:t>Manager People &amp; Change</w:t>
      </w:r>
    </w:p>
    <w:p w14:paraId="21BDF4CE" w14:textId="784A5DC0" w:rsidR="006B5E1D" w:rsidRDefault="006B5E1D" w:rsidP="00F4751D">
      <w:pPr>
        <w:pStyle w:val="ListParagraph"/>
        <w:numPr>
          <w:ilvl w:val="0"/>
          <w:numId w:val="12"/>
        </w:numPr>
        <w:spacing w:after="0"/>
        <w:ind w:left="851" w:hanging="567"/>
        <w:contextualSpacing/>
        <w:jc w:val="left"/>
        <w:outlineLvl w:val="2"/>
        <w:rPr>
          <w:color w:val="000000" w:themeColor="text1"/>
        </w:rPr>
      </w:pPr>
      <w:r>
        <w:t xml:space="preserve">developing health monitoring action plans in conjunction with </w:t>
      </w:r>
      <w:r w:rsidR="00CA34A3" w:rsidRPr="0039374A">
        <w:t xml:space="preserve">Manager </w:t>
      </w:r>
      <w:r w:rsidR="007B3708" w:rsidRPr="00001171">
        <w:t>OHS</w:t>
      </w:r>
      <w:r w:rsidR="007B3708">
        <w:t xml:space="preserve"> </w:t>
      </w:r>
      <w:r>
        <w:rPr>
          <w:color w:val="000000" w:themeColor="text1"/>
        </w:rPr>
        <w:t>to meet regulatory requirements.</w:t>
      </w:r>
    </w:p>
    <w:p w14:paraId="7505A80A" w14:textId="17C3E23D" w:rsidR="00ED3872" w:rsidRDefault="00ED3872" w:rsidP="00F4751D">
      <w:pPr>
        <w:pStyle w:val="Heading3"/>
        <w:numPr>
          <w:ilvl w:val="0"/>
          <w:numId w:val="13"/>
        </w:numPr>
        <w:spacing w:after="0"/>
        <w:ind w:left="851" w:hanging="567"/>
        <w:contextualSpacing/>
      </w:pPr>
      <w:r>
        <w:t xml:space="preserve">communicating and consulting with relevant </w:t>
      </w:r>
      <w:r w:rsidR="006E0DB6" w:rsidRPr="0059482D">
        <w:t>HSRs</w:t>
      </w:r>
      <w:r w:rsidR="006E0DB6">
        <w:t xml:space="preserve">, </w:t>
      </w:r>
      <w:r>
        <w:t>employees, volunteers and contractors about this procedure</w:t>
      </w:r>
    </w:p>
    <w:p w14:paraId="63B0802D" w14:textId="77777777" w:rsidR="00EC6CE9" w:rsidRPr="006F25D0" w:rsidRDefault="00EC6CE9" w:rsidP="00EC6CE9">
      <w:pPr>
        <w:pStyle w:val="ListParagraph"/>
        <w:numPr>
          <w:ilvl w:val="0"/>
          <w:numId w:val="13"/>
        </w:numPr>
      </w:pPr>
      <w:r>
        <w:t>identification and provision of suitable and relevant PPE</w:t>
      </w:r>
    </w:p>
    <w:p w14:paraId="1066093C" w14:textId="77777777" w:rsidR="00EC6CE9" w:rsidRPr="00EC6CE9" w:rsidRDefault="00EC6CE9" w:rsidP="00EC6CE9"/>
    <w:p w14:paraId="5C045ACD" w14:textId="77777777" w:rsidR="00193D05" w:rsidRPr="00193D05" w:rsidRDefault="00193D05" w:rsidP="00193D05"/>
    <w:p w14:paraId="5774B3E8" w14:textId="77777777" w:rsidR="006F25D0" w:rsidRPr="006F25D0" w:rsidRDefault="006F25D0" w:rsidP="006F25D0"/>
    <w:p w14:paraId="7509A99A" w14:textId="77777777" w:rsidR="006B5E1D" w:rsidRDefault="006B5E1D" w:rsidP="00ED3872">
      <w:pPr>
        <w:rPr>
          <w:b/>
        </w:rPr>
      </w:pPr>
    </w:p>
    <w:p w14:paraId="750C6E6E" w14:textId="77777777" w:rsidR="00ED3872" w:rsidRDefault="00ED3872" w:rsidP="00ED3872">
      <w:r>
        <w:rPr>
          <w:b/>
        </w:rPr>
        <w:t>Contractors</w:t>
      </w:r>
      <w:r>
        <w:t xml:space="preserve"> are responsible for:</w:t>
      </w:r>
    </w:p>
    <w:p w14:paraId="78F57A41" w14:textId="77777777" w:rsidR="00ED3872" w:rsidRDefault="00ED3872" w:rsidP="00F4751D">
      <w:pPr>
        <w:pStyle w:val="ListParagraph"/>
        <w:numPr>
          <w:ilvl w:val="0"/>
          <w:numId w:val="14"/>
        </w:numPr>
        <w:ind w:left="851" w:hanging="567"/>
        <w:contextualSpacing/>
        <w:jc w:val="left"/>
      </w:pPr>
      <w:r>
        <w:t>implementing an appropriate health monitoring program when tasks and processes are identified that may expose their employees to health risks requiring monitoring</w:t>
      </w:r>
    </w:p>
    <w:p w14:paraId="1B6F6B9E" w14:textId="77777777" w:rsidR="007A52E0" w:rsidRDefault="007A52E0" w:rsidP="00AF4C7D">
      <w:pPr>
        <w:pStyle w:val="Heading1"/>
      </w:pPr>
      <w:r w:rsidRPr="007A52E0">
        <w:t>Procedure</w:t>
      </w:r>
    </w:p>
    <w:p w14:paraId="79872325" w14:textId="77777777" w:rsidR="00ED3872" w:rsidRDefault="00ED3872" w:rsidP="00ED3872">
      <w:pPr>
        <w:pStyle w:val="Heading2"/>
        <w:numPr>
          <w:ilvl w:val="1"/>
          <w:numId w:val="15"/>
        </w:numPr>
        <w:spacing w:before="0"/>
        <w:ind w:left="425" w:hanging="567"/>
        <w:jc w:val="both"/>
      </w:pPr>
      <w:r>
        <w:t>Identification</w:t>
      </w:r>
    </w:p>
    <w:p w14:paraId="505C371B" w14:textId="0DD357E2" w:rsidR="00ED3872" w:rsidRDefault="00ED3872" w:rsidP="00ED3872">
      <w:pPr>
        <w:pStyle w:val="Default"/>
        <w:spacing w:after="120"/>
        <w:rPr>
          <w:color w:val="000000" w:themeColor="text1"/>
          <w:sz w:val="22"/>
          <w:szCs w:val="22"/>
        </w:rPr>
      </w:pPr>
      <w:r>
        <w:rPr>
          <w:sz w:val="22"/>
          <w:szCs w:val="22"/>
        </w:rPr>
        <w:t xml:space="preserve">If hazardous exposure levels are identified or suspected from work tasks, a risk assessment will be undertaken to determine controls and monitoring requirements refer to </w:t>
      </w:r>
      <w:r>
        <w:rPr>
          <w:color w:val="000000" w:themeColor="text1"/>
          <w:sz w:val="22"/>
          <w:szCs w:val="22"/>
        </w:rPr>
        <w:t>OHS Risk and Change Management Procedure.</w:t>
      </w:r>
    </w:p>
    <w:p w14:paraId="7CBAD99A" w14:textId="77777777" w:rsidR="00ED3872" w:rsidRDefault="00ED3872" w:rsidP="00ED3872">
      <w:pPr>
        <w:pStyle w:val="Default"/>
        <w:spacing w:after="120"/>
        <w:rPr>
          <w:sz w:val="22"/>
          <w:szCs w:val="22"/>
        </w:rPr>
      </w:pPr>
      <w:r>
        <w:rPr>
          <w:sz w:val="22"/>
          <w:szCs w:val="22"/>
        </w:rPr>
        <w:t>Employees identified as having exposure to the following will require health monitoring:</w:t>
      </w:r>
    </w:p>
    <w:p w14:paraId="273ADE23" w14:textId="13A9A36E" w:rsidR="00ED3872" w:rsidRPr="00D73ECB" w:rsidRDefault="00ED3872" w:rsidP="00F4751D">
      <w:pPr>
        <w:pStyle w:val="Default"/>
        <w:numPr>
          <w:ilvl w:val="0"/>
          <w:numId w:val="16"/>
        </w:numPr>
        <w:adjustRightInd w:val="0"/>
        <w:spacing w:after="120"/>
        <w:ind w:left="851" w:hanging="567"/>
        <w:rPr>
          <w:sz w:val="22"/>
          <w:szCs w:val="22"/>
        </w:rPr>
      </w:pPr>
      <w:r w:rsidRPr="00D73ECB">
        <w:rPr>
          <w:sz w:val="22"/>
          <w:szCs w:val="22"/>
        </w:rPr>
        <w:t xml:space="preserve">hazardous substances listed in </w:t>
      </w:r>
      <w:r w:rsidR="00F4751D" w:rsidRPr="00D73ECB">
        <w:rPr>
          <w:sz w:val="22"/>
          <w:szCs w:val="22"/>
        </w:rPr>
        <w:t>O</w:t>
      </w:r>
      <w:r w:rsidRPr="00D73ECB">
        <w:rPr>
          <w:sz w:val="22"/>
          <w:szCs w:val="22"/>
        </w:rPr>
        <w:t xml:space="preserve">ccupation </w:t>
      </w:r>
      <w:r w:rsidR="00F4751D" w:rsidRPr="00D73ECB">
        <w:rPr>
          <w:sz w:val="22"/>
          <w:szCs w:val="22"/>
        </w:rPr>
        <w:t>H</w:t>
      </w:r>
      <w:r w:rsidRPr="00D73ECB">
        <w:rPr>
          <w:sz w:val="22"/>
          <w:szCs w:val="22"/>
        </w:rPr>
        <w:t xml:space="preserve">ealth and </w:t>
      </w:r>
      <w:r w:rsidR="00F4751D" w:rsidRPr="00D73ECB">
        <w:rPr>
          <w:sz w:val="22"/>
          <w:szCs w:val="22"/>
        </w:rPr>
        <w:t>S</w:t>
      </w:r>
      <w:r w:rsidRPr="00D73ECB">
        <w:rPr>
          <w:sz w:val="22"/>
          <w:szCs w:val="22"/>
        </w:rPr>
        <w:t xml:space="preserve">afety </w:t>
      </w:r>
      <w:r w:rsidR="00F4751D" w:rsidRPr="00D73ECB">
        <w:rPr>
          <w:sz w:val="22"/>
          <w:szCs w:val="22"/>
        </w:rPr>
        <w:t>R</w:t>
      </w:r>
      <w:r w:rsidRPr="00D73ECB">
        <w:rPr>
          <w:sz w:val="22"/>
          <w:szCs w:val="22"/>
        </w:rPr>
        <w:t>egulations 2017</w:t>
      </w:r>
      <w:r w:rsidR="00F4751D" w:rsidRPr="00D73ECB">
        <w:rPr>
          <w:sz w:val="22"/>
          <w:szCs w:val="22"/>
        </w:rPr>
        <w:t xml:space="preserve"> </w:t>
      </w:r>
      <w:r w:rsidR="00D533D3" w:rsidRPr="00D73ECB">
        <w:rPr>
          <w:sz w:val="22"/>
          <w:szCs w:val="22"/>
        </w:rPr>
        <w:t>S</w:t>
      </w:r>
      <w:r w:rsidRPr="00D73ECB">
        <w:rPr>
          <w:sz w:val="22"/>
          <w:szCs w:val="22"/>
        </w:rPr>
        <w:t xml:space="preserve">chedule 9 </w:t>
      </w:r>
      <w:r w:rsidR="00C92791" w:rsidRPr="00D73ECB">
        <w:rPr>
          <w:sz w:val="22"/>
          <w:szCs w:val="22"/>
        </w:rPr>
        <w:t>(see Appendix 1 at back of this document)</w:t>
      </w:r>
      <w:r w:rsidRPr="00D73ECB">
        <w:rPr>
          <w:sz w:val="22"/>
          <w:szCs w:val="22"/>
        </w:rPr>
        <w:t xml:space="preserve"> </w:t>
      </w:r>
    </w:p>
    <w:p w14:paraId="18689B7D" w14:textId="77777777" w:rsidR="00ED3872" w:rsidRDefault="00ED3872" w:rsidP="00F4751D">
      <w:pPr>
        <w:pStyle w:val="Default"/>
        <w:numPr>
          <w:ilvl w:val="0"/>
          <w:numId w:val="16"/>
        </w:numPr>
        <w:adjustRightInd w:val="0"/>
        <w:spacing w:after="120"/>
        <w:ind w:left="851" w:hanging="567"/>
        <w:rPr>
          <w:sz w:val="22"/>
          <w:szCs w:val="22"/>
        </w:rPr>
      </w:pPr>
      <w:r>
        <w:rPr>
          <w:sz w:val="22"/>
          <w:szCs w:val="22"/>
        </w:rPr>
        <w:t>noise levels above the regulatory threshold</w:t>
      </w:r>
    </w:p>
    <w:p w14:paraId="0021DBC9" w14:textId="6DEF7D83" w:rsidR="00ED3872" w:rsidRDefault="00ED3872" w:rsidP="00F4751D">
      <w:pPr>
        <w:pStyle w:val="Default"/>
        <w:numPr>
          <w:ilvl w:val="0"/>
          <w:numId w:val="16"/>
        </w:numPr>
        <w:adjustRightInd w:val="0"/>
        <w:spacing w:after="120"/>
        <w:ind w:left="851" w:hanging="567"/>
      </w:pPr>
      <w:r>
        <w:rPr>
          <w:sz w:val="22"/>
          <w:szCs w:val="22"/>
        </w:rPr>
        <w:t>biological pathogens</w:t>
      </w:r>
      <w:r w:rsidR="00963DA6">
        <w:rPr>
          <w:sz w:val="22"/>
          <w:szCs w:val="22"/>
        </w:rPr>
        <w:t xml:space="preserve"> </w:t>
      </w:r>
      <w:r w:rsidR="00963DA6" w:rsidRPr="00D73ECB">
        <w:rPr>
          <w:sz w:val="22"/>
          <w:szCs w:val="22"/>
        </w:rPr>
        <w:t xml:space="preserve">(an infectious agent that can cause disease </w:t>
      </w:r>
      <w:proofErr w:type="spellStart"/>
      <w:r w:rsidR="00963DA6" w:rsidRPr="00D73ECB">
        <w:rPr>
          <w:sz w:val="22"/>
          <w:szCs w:val="22"/>
        </w:rPr>
        <w:t>eg</w:t>
      </w:r>
      <w:proofErr w:type="spellEnd"/>
      <w:r w:rsidR="00963DA6" w:rsidRPr="00D73ECB">
        <w:rPr>
          <w:sz w:val="22"/>
          <w:szCs w:val="22"/>
        </w:rPr>
        <w:t xml:space="preserve"> bacteria, viruses, fungi etc) </w:t>
      </w:r>
    </w:p>
    <w:p w14:paraId="2DF96B89" w14:textId="77777777" w:rsidR="00ED3872" w:rsidRDefault="00ED3872" w:rsidP="00ED3872">
      <w:pPr>
        <w:pStyle w:val="Heading2"/>
        <w:numPr>
          <w:ilvl w:val="1"/>
          <w:numId w:val="15"/>
        </w:numPr>
        <w:spacing w:before="0"/>
        <w:ind w:left="425" w:hanging="567"/>
        <w:jc w:val="both"/>
      </w:pPr>
      <w:r>
        <w:t>Health Monitoring</w:t>
      </w:r>
    </w:p>
    <w:p w14:paraId="549F457B" w14:textId="77777777" w:rsidR="00ED3872" w:rsidRDefault="00ED3872" w:rsidP="00ED3872">
      <w:r>
        <w:t>Where health monitoring has been identified appropriate actions are implemented including:</w:t>
      </w:r>
    </w:p>
    <w:p w14:paraId="7D395852" w14:textId="77777777" w:rsidR="00ED3872" w:rsidRDefault="00ED3872" w:rsidP="00F4751D">
      <w:pPr>
        <w:pStyle w:val="ListParagraph"/>
        <w:numPr>
          <w:ilvl w:val="0"/>
          <w:numId w:val="17"/>
        </w:numPr>
        <w:ind w:left="851" w:hanging="567"/>
        <w:contextualSpacing/>
        <w:jc w:val="left"/>
        <w:outlineLvl w:val="2"/>
      </w:pPr>
      <w:r>
        <w:t>affected employees and their function.</w:t>
      </w:r>
    </w:p>
    <w:p w14:paraId="1BFE3D6C" w14:textId="77777777" w:rsidR="00ED3872" w:rsidRDefault="00ED3872" w:rsidP="00F4751D">
      <w:pPr>
        <w:pStyle w:val="ListParagraph"/>
        <w:numPr>
          <w:ilvl w:val="0"/>
          <w:numId w:val="17"/>
        </w:numPr>
        <w:ind w:left="851" w:hanging="567"/>
        <w:contextualSpacing/>
        <w:jc w:val="left"/>
        <w:outlineLvl w:val="2"/>
      </w:pPr>
      <w:r>
        <w:t>item identified and monitoring required</w:t>
      </w:r>
    </w:p>
    <w:p w14:paraId="038726FD" w14:textId="17AF0088" w:rsidR="00ED3872" w:rsidRDefault="00ED3872" w:rsidP="00F4751D">
      <w:pPr>
        <w:pStyle w:val="ListParagraph"/>
        <w:numPr>
          <w:ilvl w:val="0"/>
          <w:numId w:val="17"/>
        </w:numPr>
        <w:ind w:left="851" w:hanging="567"/>
        <w:contextualSpacing/>
        <w:jc w:val="left"/>
        <w:outlineLvl w:val="2"/>
      </w:pPr>
      <w:r>
        <w:t>preferred provider and frequency of monitoring</w:t>
      </w:r>
      <w:r w:rsidR="00963DA6">
        <w:t xml:space="preserve"> </w:t>
      </w:r>
    </w:p>
    <w:p w14:paraId="72EF67B6" w14:textId="2704D671" w:rsidR="00ED3872" w:rsidRDefault="00ED3872" w:rsidP="00ED3872">
      <w:r>
        <w:t>Health monitoring must be carried out under the supervision of a registered medical practitioner with the relevant competencies.</w:t>
      </w:r>
    </w:p>
    <w:p w14:paraId="7FA37AAC" w14:textId="253F1D7E" w:rsidR="00D6764C" w:rsidRDefault="00D6764C" w:rsidP="00ED3872">
      <w:pPr>
        <w:rPr>
          <w:bCs/>
          <w:color w:val="000000" w:themeColor="text1"/>
          <w:lang w:eastAsia="en-AU"/>
        </w:rPr>
      </w:pPr>
      <w:r w:rsidRPr="006F25D0">
        <w:rPr>
          <w:bCs/>
          <w:color w:val="000000" w:themeColor="text1"/>
        </w:rPr>
        <w:t xml:space="preserve">For the purposes of this procedure, medical practitioners will be appointed by </w:t>
      </w:r>
      <w:r w:rsidR="0039374A" w:rsidRPr="0039374A">
        <w:t>GDCC</w:t>
      </w:r>
      <w:r w:rsidRPr="006F25D0">
        <w:rPr>
          <w:bCs/>
          <w:color w:val="000000" w:themeColor="text1"/>
        </w:rPr>
        <w:t xml:space="preserve">.  Costs of such health monitoring will be at the expense of </w:t>
      </w:r>
      <w:r w:rsidR="0039374A" w:rsidRPr="0039374A">
        <w:t>GDCC</w:t>
      </w:r>
      <w:r w:rsidRPr="006F25D0">
        <w:rPr>
          <w:bCs/>
          <w:color w:val="000000" w:themeColor="text1"/>
        </w:rPr>
        <w:t>.  In addition to this, employees may wish to have health monitoring conducted by a medical practitioner of their choice.  Costs for this additional monitoring are the responsibility of the relevant employee.</w:t>
      </w:r>
      <w:r w:rsidRPr="00D6764C">
        <w:rPr>
          <w:bCs/>
          <w:color w:val="000000" w:themeColor="text1"/>
          <w:lang w:eastAsia="en-AU"/>
        </w:rPr>
        <w:t xml:space="preserve"> </w:t>
      </w:r>
    </w:p>
    <w:p w14:paraId="39F752AA" w14:textId="7C8C6779" w:rsidR="00471161" w:rsidRDefault="00471161" w:rsidP="00ED3872">
      <w:r w:rsidRPr="00001171">
        <w:rPr>
          <w:color w:val="000000" w:themeColor="text1"/>
        </w:rPr>
        <w:t xml:space="preserve">A Hazardous Substance Health Monitoring Report for employees identified who may have been exposed to hazardous substances is available at: </w:t>
      </w:r>
      <w:hyperlink r:id="rId13" w:history="1">
        <w:r w:rsidRPr="00001171">
          <w:rPr>
            <w:rStyle w:val="Hyperlink"/>
          </w:rPr>
          <w:t>Hazardous substance health monitoring report | WorkSafe Victoria</w:t>
        </w:r>
      </w:hyperlink>
      <w:r w:rsidRPr="00001171">
        <w:rPr>
          <w:color w:val="000000" w:themeColor="text1"/>
        </w:rPr>
        <w:t xml:space="preserve">  </w:t>
      </w:r>
    </w:p>
    <w:p w14:paraId="656AACF9" w14:textId="2D21224C" w:rsidR="00ED3872" w:rsidRDefault="00ED3872" w:rsidP="00ED3872">
      <w:pPr>
        <w:jc w:val="left"/>
      </w:pPr>
      <w:r>
        <w:t>Employees that are part of a health monitoring program will be informed of all aspects of the program and provided with their own results of testing.</w:t>
      </w:r>
      <w:r w:rsidR="00D6764C">
        <w:t xml:space="preserve"> </w:t>
      </w:r>
    </w:p>
    <w:p w14:paraId="487AB009" w14:textId="43CE3B5F" w:rsidR="00ED3872" w:rsidRDefault="00ED3872" w:rsidP="00ED3872">
      <w:pPr>
        <w:rPr>
          <w:color w:val="000000" w:themeColor="text1"/>
        </w:rPr>
      </w:pPr>
      <w:r>
        <w:t>Reporting of health monitoring are confidential medical records and will only be passed on to another party where there is a specific legal requirement</w:t>
      </w:r>
      <w:r w:rsidR="006F25D0">
        <w:t>. Medical records</w:t>
      </w:r>
      <w:r>
        <w:t xml:space="preserve"> </w:t>
      </w:r>
      <w:r w:rsidR="006F25D0">
        <w:t>will be</w:t>
      </w:r>
      <w:r>
        <w:t xml:space="preserve"> stored according to </w:t>
      </w:r>
      <w:r>
        <w:rPr>
          <w:color w:val="000000" w:themeColor="text1"/>
        </w:rPr>
        <w:t>OHS Document Control Procedure</w:t>
      </w:r>
      <w:r w:rsidR="00192450">
        <w:rPr>
          <w:color w:val="000000" w:themeColor="text1"/>
        </w:rPr>
        <w:t xml:space="preserve"> and Objective (Records Management System)</w:t>
      </w:r>
      <w:r>
        <w:rPr>
          <w:color w:val="000000" w:themeColor="text1"/>
        </w:rPr>
        <w:t>.</w:t>
      </w:r>
    </w:p>
    <w:p w14:paraId="25C03279" w14:textId="77777777" w:rsidR="00ED3872" w:rsidRDefault="00ED3872" w:rsidP="00ED3872">
      <w:pPr>
        <w:pStyle w:val="Heading2"/>
        <w:numPr>
          <w:ilvl w:val="1"/>
          <w:numId w:val="15"/>
        </w:numPr>
        <w:spacing w:before="0"/>
        <w:ind w:left="426" w:hanging="568"/>
        <w:jc w:val="both"/>
      </w:pPr>
      <w:r>
        <w:t>Workplace Monitoring</w:t>
      </w:r>
    </w:p>
    <w:p w14:paraId="595D0055" w14:textId="77777777" w:rsidR="00ED3872" w:rsidRDefault="00ED3872" w:rsidP="00ED3872">
      <w:r>
        <w:t>Monitoring of the work environment may be required to determine if health risk is present and include:</w:t>
      </w:r>
    </w:p>
    <w:p w14:paraId="5FE29571" w14:textId="77777777" w:rsidR="00ED3872" w:rsidRDefault="00ED3872" w:rsidP="00F4751D">
      <w:pPr>
        <w:pStyle w:val="ListParagraph"/>
        <w:numPr>
          <w:ilvl w:val="0"/>
          <w:numId w:val="18"/>
        </w:numPr>
        <w:ind w:left="851" w:hanging="567"/>
        <w:contextualSpacing/>
      </w:pPr>
      <w:r>
        <w:t>noise assessments</w:t>
      </w:r>
    </w:p>
    <w:p w14:paraId="128C04B8" w14:textId="77777777" w:rsidR="00ED3872" w:rsidRDefault="00ED3872" w:rsidP="00F4751D">
      <w:pPr>
        <w:pStyle w:val="ListParagraph"/>
        <w:numPr>
          <w:ilvl w:val="0"/>
          <w:numId w:val="18"/>
        </w:numPr>
        <w:ind w:left="851" w:hanging="567"/>
        <w:contextualSpacing/>
      </w:pPr>
      <w:r>
        <w:t>atmospheric monitoring and oxygen levels</w:t>
      </w:r>
    </w:p>
    <w:p w14:paraId="209DB334" w14:textId="77777777" w:rsidR="00ED3872" w:rsidRDefault="00ED3872" w:rsidP="00F4751D">
      <w:pPr>
        <w:pStyle w:val="ListParagraph"/>
        <w:numPr>
          <w:ilvl w:val="0"/>
          <w:numId w:val="18"/>
        </w:numPr>
        <w:ind w:left="851" w:hanging="567"/>
        <w:contextualSpacing/>
      </w:pPr>
      <w:r>
        <w:t xml:space="preserve">UV levels.            </w:t>
      </w:r>
    </w:p>
    <w:p w14:paraId="5CF099BF" w14:textId="77777777" w:rsidR="00ED3872" w:rsidRDefault="00ED3872" w:rsidP="00ED3872">
      <w:pPr>
        <w:jc w:val="left"/>
      </w:pPr>
      <w:r>
        <w:lastRenderedPageBreak/>
        <w:t>The results of workplace monitoring will be made available to employees and others in the workplace that may be exposed to hazards with potential for impact on their health.</w:t>
      </w:r>
    </w:p>
    <w:p w14:paraId="154715A6" w14:textId="77777777" w:rsidR="00ED3872" w:rsidRDefault="00ED3872" w:rsidP="00ED3872">
      <w:r>
        <w:t>In addition, monitoring will be undertaken:</w:t>
      </w:r>
      <w:r>
        <w:tab/>
      </w:r>
    </w:p>
    <w:p w14:paraId="63162BF0" w14:textId="77777777" w:rsidR="00ED3872" w:rsidRDefault="00ED3872" w:rsidP="00460517">
      <w:pPr>
        <w:pStyle w:val="ListParagraph"/>
        <w:numPr>
          <w:ilvl w:val="0"/>
          <w:numId w:val="19"/>
        </w:numPr>
        <w:ind w:left="851" w:hanging="567"/>
        <w:contextualSpacing/>
      </w:pPr>
      <w:r>
        <w:t>if health monitoring has identified symptoms</w:t>
      </w:r>
    </w:p>
    <w:p w14:paraId="64A07D96" w14:textId="77777777" w:rsidR="00ED3872" w:rsidRDefault="00ED3872" w:rsidP="00460517">
      <w:pPr>
        <w:pStyle w:val="ListParagraph"/>
        <w:numPr>
          <w:ilvl w:val="0"/>
          <w:numId w:val="19"/>
        </w:numPr>
        <w:ind w:left="851" w:hanging="567"/>
        <w:contextualSpacing/>
      </w:pPr>
      <w:r>
        <w:t>after process modifications or changes to work practices that may adversely affect employee exposure</w:t>
      </w:r>
    </w:p>
    <w:p w14:paraId="7BFED6CE" w14:textId="77777777" w:rsidR="00ED3872" w:rsidRDefault="00ED3872" w:rsidP="00460517">
      <w:pPr>
        <w:pStyle w:val="ListParagraph"/>
        <w:numPr>
          <w:ilvl w:val="0"/>
          <w:numId w:val="19"/>
        </w:numPr>
        <w:ind w:left="851" w:hanging="567"/>
        <w:contextualSpacing/>
      </w:pPr>
      <w:r>
        <w:t>to assist in the design or selection of controls to reduce exposure</w:t>
      </w:r>
    </w:p>
    <w:p w14:paraId="7A838B94" w14:textId="77777777" w:rsidR="00ED3872" w:rsidRDefault="00ED3872" w:rsidP="00ED3872">
      <w:pPr>
        <w:pStyle w:val="Heading2"/>
        <w:numPr>
          <w:ilvl w:val="1"/>
          <w:numId w:val="15"/>
        </w:numPr>
        <w:spacing w:before="0"/>
        <w:ind w:left="425" w:hanging="567"/>
        <w:jc w:val="both"/>
      </w:pPr>
      <w:r>
        <w:t>Corrective or Preventative Action</w:t>
      </w:r>
    </w:p>
    <w:p w14:paraId="238E9897" w14:textId="44A58F18" w:rsidR="00ED3872" w:rsidRDefault="00ED3872" w:rsidP="00ED3872">
      <w:r>
        <w:t xml:space="preserve">When the results of monitoring indicate that a hazard is not adequately controlled, </w:t>
      </w:r>
      <w:r w:rsidR="00C340E6" w:rsidRPr="006F25D0">
        <w:t>the hazard should be isolated</w:t>
      </w:r>
      <w:r w:rsidR="00C340E6">
        <w:t xml:space="preserve">, and </w:t>
      </w:r>
      <w:r>
        <w:t xml:space="preserve">corrective action is to be implemented.  </w:t>
      </w:r>
    </w:p>
    <w:p w14:paraId="30809B05" w14:textId="1F8A6774" w:rsidR="00ED3872" w:rsidRDefault="00ED3872" w:rsidP="00ED3872">
      <w:pPr>
        <w:jc w:val="left"/>
      </w:pPr>
      <w:r>
        <w:t xml:space="preserve">Corrective and preventative actions shall be prioritised, have an agreed completion date based on the risk profile and be monitored for completion </w:t>
      </w:r>
      <w:r w:rsidR="00192450" w:rsidRPr="00192450">
        <w:rPr>
          <w:color w:val="000000" w:themeColor="text1"/>
        </w:rPr>
        <w:t xml:space="preserve">in </w:t>
      </w:r>
      <w:r w:rsidR="0039374A" w:rsidRPr="0039374A">
        <w:t>GDCC</w:t>
      </w:r>
      <w:r w:rsidR="0039374A">
        <w:t>’s</w:t>
      </w:r>
      <w:r w:rsidR="0039374A">
        <w:rPr>
          <w:color w:val="000000" w:themeColor="text1"/>
        </w:rPr>
        <w:t xml:space="preserve"> </w:t>
      </w:r>
      <w:r w:rsidR="006F25D0">
        <w:rPr>
          <w:color w:val="000000" w:themeColor="text1"/>
        </w:rPr>
        <w:t>Incident Reporting System</w:t>
      </w:r>
      <w:r>
        <w:t xml:space="preserve">. Corrective or preventative actions may require on-going monitoring to make sure the actions have been effective. The </w:t>
      </w:r>
      <w:r w:rsidR="00192450">
        <w:rPr>
          <w:color w:val="000000" w:themeColor="text1"/>
        </w:rPr>
        <w:t>person responsible for the corrective and preventative action</w:t>
      </w:r>
      <w:r w:rsidRPr="00192450">
        <w:rPr>
          <w:color w:val="000000" w:themeColor="text1"/>
        </w:rPr>
        <w:t xml:space="preserve"> </w:t>
      </w:r>
      <w:r>
        <w:t>should manage this process.</w:t>
      </w:r>
    </w:p>
    <w:p w14:paraId="0B0DA6C3" w14:textId="77777777" w:rsidR="007A52E0" w:rsidRDefault="007A52E0" w:rsidP="00AF4C7D">
      <w:pPr>
        <w:pStyle w:val="Heading1"/>
      </w:pPr>
      <w:r w:rsidRPr="00613239">
        <w:t>References</w:t>
      </w:r>
    </w:p>
    <w:p w14:paraId="4C778BF1" w14:textId="77777777" w:rsidR="00ED3872" w:rsidRDefault="00ED3872" w:rsidP="00ED3872">
      <w:r>
        <w:t>Occupational Health and Safety Act 2004</w:t>
      </w:r>
    </w:p>
    <w:p w14:paraId="21408A66" w14:textId="77777777" w:rsidR="00ED3872" w:rsidRDefault="00ED3872" w:rsidP="00ED3872">
      <w:r>
        <w:t>Occupational Health &amp; Safety Regulations 2017</w:t>
      </w:r>
    </w:p>
    <w:p w14:paraId="440A4079" w14:textId="77777777" w:rsidR="00ED3872" w:rsidRDefault="00ED3872" w:rsidP="00ED3872">
      <w:pPr>
        <w:jc w:val="left"/>
        <w:rPr>
          <w:bCs/>
        </w:rPr>
      </w:pPr>
      <w:r>
        <w:rPr>
          <w:bCs/>
        </w:rPr>
        <w:t>WorkSafe Vic. Hazardous Substances (Compliance code Edition 1, July 2018)</w:t>
      </w:r>
    </w:p>
    <w:p w14:paraId="7002C455" w14:textId="3070BCC0" w:rsidR="006D2BA5" w:rsidRDefault="006D2BA5" w:rsidP="00ED3872">
      <w:pPr>
        <w:jc w:val="left"/>
        <w:rPr>
          <w:bCs/>
          <w:sz w:val="18"/>
          <w:szCs w:val="18"/>
        </w:rPr>
      </w:pPr>
      <w:r w:rsidRPr="00001171">
        <w:rPr>
          <w:bCs/>
        </w:rPr>
        <w:t>WorkSafe Vic. Hazardous Substances Health and Safety Guide</w:t>
      </w:r>
    </w:p>
    <w:p w14:paraId="51410E5B" w14:textId="42569F42" w:rsidR="00471161" w:rsidRDefault="00471161" w:rsidP="00ED3872">
      <w:pPr>
        <w:jc w:val="left"/>
        <w:rPr>
          <w:bCs/>
        </w:rPr>
      </w:pPr>
      <w:r w:rsidRPr="00001171">
        <w:rPr>
          <w:color w:val="000000" w:themeColor="text1"/>
        </w:rPr>
        <w:t xml:space="preserve">WorkSafe Vic. Hazardous Substance Health Monitoring Report 2024 </w:t>
      </w:r>
    </w:p>
    <w:p w14:paraId="58583E7E" w14:textId="77777777" w:rsidR="00ED3872" w:rsidRDefault="00ED3872" w:rsidP="00ED3872">
      <w:pPr>
        <w:jc w:val="left"/>
        <w:rPr>
          <w:bCs/>
        </w:rPr>
      </w:pPr>
      <w:r>
        <w:rPr>
          <w:bCs/>
        </w:rPr>
        <w:t>WorkSafe Vic. Managing chemicals in the workplace June 2017</w:t>
      </w:r>
    </w:p>
    <w:p w14:paraId="3948E711" w14:textId="77777777" w:rsidR="0039374A" w:rsidRPr="007B5A75" w:rsidRDefault="0039374A" w:rsidP="0039374A">
      <w:pPr>
        <w:rPr>
          <w:rFonts w:eastAsia="Times New Roman"/>
        </w:rPr>
      </w:pPr>
      <w:r w:rsidRPr="007B5A75">
        <w:rPr>
          <w:rFonts w:eastAsia="Times New Roman"/>
        </w:rPr>
        <w:t xml:space="preserve">AS/NZS ISO 45001:2018 Occupational Health &amp; Safety Management Systems </w:t>
      </w:r>
    </w:p>
    <w:p w14:paraId="4CE948AA" w14:textId="77777777" w:rsidR="00AC19B6" w:rsidRDefault="00AC19B6" w:rsidP="00AF4C7D">
      <w:pPr>
        <w:pStyle w:val="Heading1"/>
      </w:pPr>
      <w:r>
        <w:t>Related Documents</w:t>
      </w:r>
    </w:p>
    <w:p w14:paraId="7573423A" w14:textId="6AFC672E" w:rsidR="00ED3872" w:rsidRDefault="00ED3872" w:rsidP="00ED3872">
      <w:pPr>
        <w:jc w:val="left"/>
        <w:rPr>
          <w:color w:val="000000" w:themeColor="text1"/>
        </w:rPr>
      </w:pPr>
      <w:r>
        <w:rPr>
          <w:color w:val="000000" w:themeColor="text1"/>
        </w:rPr>
        <w:t>OHS Policy</w:t>
      </w:r>
    </w:p>
    <w:p w14:paraId="58DF83E2" w14:textId="34BB4F5D" w:rsidR="006006DF" w:rsidRDefault="006006DF" w:rsidP="00ED3872">
      <w:pPr>
        <w:jc w:val="left"/>
        <w:rPr>
          <w:color w:val="000000" w:themeColor="text1"/>
        </w:rPr>
      </w:pPr>
      <w:r w:rsidRPr="00001171">
        <w:rPr>
          <w:color w:val="000000" w:themeColor="text1"/>
        </w:rPr>
        <w:t>OHS Confined Space and Access Control Procedure</w:t>
      </w:r>
    </w:p>
    <w:p w14:paraId="1288A313" w14:textId="0F492B3B" w:rsidR="00192450" w:rsidRPr="00192450" w:rsidRDefault="00192450" w:rsidP="00ED3872">
      <w:pPr>
        <w:jc w:val="left"/>
        <w:rPr>
          <w:color w:val="000000" w:themeColor="text1"/>
        </w:rPr>
      </w:pPr>
      <w:hyperlink r:id="rId14" w:tgtFrame="_blank" w:history="1">
        <w:r w:rsidRPr="0039374A">
          <w:rPr>
            <w:rStyle w:val="Hyperlink"/>
            <w:color w:val="auto"/>
            <w:u w:val="none"/>
          </w:rPr>
          <w:t>OHS Consultation</w:t>
        </w:r>
        <w:r w:rsidR="0039374A" w:rsidRPr="0039374A">
          <w:rPr>
            <w:rStyle w:val="Hyperlink"/>
            <w:color w:val="auto"/>
            <w:u w:val="none"/>
          </w:rPr>
          <w:t xml:space="preserve"> and</w:t>
        </w:r>
        <w:r w:rsidRPr="0039374A">
          <w:rPr>
            <w:rStyle w:val="Hyperlink"/>
            <w:color w:val="auto"/>
            <w:u w:val="none"/>
          </w:rPr>
          <w:t xml:space="preserve"> Communication</w:t>
        </w:r>
        <w:r w:rsidR="0039374A">
          <w:rPr>
            <w:rStyle w:val="Hyperlink"/>
            <w:color w:val="auto"/>
            <w:u w:val="none"/>
          </w:rPr>
          <w:t xml:space="preserve"> Operational Procedure</w:t>
        </w:r>
        <w:r w:rsidRPr="00192450">
          <w:rPr>
            <w:rStyle w:val="Hyperlink"/>
            <w:color w:val="000000" w:themeColor="text1"/>
            <w:u w:val="none"/>
          </w:rPr>
          <w:t xml:space="preserve"> </w:t>
        </w:r>
      </w:hyperlink>
    </w:p>
    <w:p w14:paraId="399D5F51" w14:textId="17016924" w:rsidR="0039374A" w:rsidRDefault="0039374A" w:rsidP="00192450">
      <w:pPr>
        <w:jc w:val="left"/>
      </w:pPr>
      <w:r>
        <w:t>OHS Issue Resolution Operational Procedure</w:t>
      </w:r>
    </w:p>
    <w:p w14:paraId="0EBDE481" w14:textId="04BF4A98" w:rsidR="00192450" w:rsidRDefault="00192450" w:rsidP="00192450">
      <w:pPr>
        <w:jc w:val="left"/>
      </w:pPr>
      <w:r>
        <w:t>OHS Document Control Procedure</w:t>
      </w:r>
    </w:p>
    <w:p w14:paraId="14FB7118" w14:textId="77777777" w:rsidR="007B3708" w:rsidRDefault="007B3708" w:rsidP="007B3708">
      <w:pPr>
        <w:pStyle w:val="Default"/>
        <w:spacing w:after="120"/>
        <w:ind w:left="-142"/>
        <w:rPr>
          <w:color w:val="000000" w:themeColor="text1"/>
          <w:sz w:val="22"/>
          <w:szCs w:val="22"/>
        </w:rPr>
      </w:pPr>
      <w:r w:rsidRPr="00001171">
        <w:rPr>
          <w:color w:val="000000" w:themeColor="text1"/>
          <w:sz w:val="22"/>
          <w:szCs w:val="22"/>
        </w:rPr>
        <w:t>OHS Noise Management Procedure</w:t>
      </w:r>
    </w:p>
    <w:p w14:paraId="61C09996" w14:textId="51F97B4F" w:rsidR="00ED3872" w:rsidRDefault="00ED3872" w:rsidP="00ED3872">
      <w:r>
        <w:t xml:space="preserve">OHS </w:t>
      </w:r>
      <w:proofErr w:type="spellStart"/>
      <w:r>
        <w:t>Responsibilit</w:t>
      </w:r>
      <w:r w:rsidR="00192450">
        <w:t>es</w:t>
      </w:r>
      <w:proofErr w:type="spellEnd"/>
      <w:r>
        <w:t xml:space="preserve"> Procedure</w:t>
      </w:r>
    </w:p>
    <w:p w14:paraId="34D10CB3" w14:textId="640BD868" w:rsidR="00ED3872" w:rsidRDefault="00ED3872" w:rsidP="00ED3872">
      <w:pPr>
        <w:pStyle w:val="Default"/>
        <w:spacing w:after="120"/>
        <w:ind w:left="-142"/>
        <w:rPr>
          <w:color w:val="000000" w:themeColor="text1"/>
          <w:sz w:val="22"/>
          <w:szCs w:val="22"/>
        </w:rPr>
      </w:pPr>
      <w:r>
        <w:rPr>
          <w:color w:val="000000" w:themeColor="text1"/>
          <w:sz w:val="22"/>
          <w:szCs w:val="22"/>
        </w:rPr>
        <w:t>OHS Risk and Change Management Procedure</w:t>
      </w:r>
    </w:p>
    <w:p w14:paraId="1D06DCEE" w14:textId="5C39AC1E" w:rsidR="00002B54" w:rsidRDefault="007B3708" w:rsidP="00ED3872">
      <w:pPr>
        <w:pStyle w:val="Default"/>
        <w:spacing w:after="120"/>
        <w:ind w:left="-142"/>
      </w:pPr>
      <w:r w:rsidRPr="00001171">
        <w:rPr>
          <w:color w:val="000000" w:themeColor="text1"/>
          <w:sz w:val="22"/>
          <w:szCs w:val="22"/>
        </w:rPr>
        <w:t xml:space="preserve">OHS </w:t>
      </w:r>
      <w:r w:rsidR="00002B54" w:rsidRPr="00001171">
        <w:rPr>
          <w:color w:val="000000" w:themeColor="text1"/>
          <w:sz w:val="22"/>
          <w:szCs w:val="22"/>
        </w:rPr>
        <w:t>UV Radiation Protection for Outdoor Workers Procedure</w:t>
      </w:r>
    </w:p>
    <w:p w14:paraId="4200E391" w14:textId="77777777" w:rsidR="00AC19B6" w:rsidRDefault="00AC19B6" w:rsidP="00AF4C7D">
      <w:pPr>
        <w:pStyle w:val="Heading1"/>
      </w:pPr>
      <w:r>
        <w:t>Document History</w:t>
      </w:r>
    </w:p>
    <w:tbl>
      <w:tblPr>
        <w:tblStyle w:val="TableGrid"/>
        <w:tblW w:w="0" w:type="auto"/>
        <w:tblInd w:w="-142" w:type="dxa"/>
        <w:tblLook w:val="04A0" w:firstRow="1" w:lastRow="0" w:firstColumn="1" w:lastColumn="0" w:noHBand="0" w:noVBand="1"/>
      </w:tblPr>
      <w:tblGrid>
        <w:gridCol w:w="1410"/>
        <w:gridCol w:w="1421"/>
        <w:gridCol w:w="6804"/>
      </w:tblGrid>
      <w:tr w:rsidR="00EC6CE9" w14:paraId="065D5C85" w14:textId="77777777" w:rsidTr="00EC6CE9">
        <w:trPr>
          <w:trHeight w:val="269"/>
        </w:trPr>
        <w:tc>
          <w:tcPr>
            <w:tcW w:w="1410" w:type="dxa"/>
          </w:tcPr>
          <w:p w14:paraId="37270260" w14:textId="77777777" w:rsidR="00EC6CE9" w:rsidRDefault="00EC6CE9" w:rsidP="00481CB3">
            <w:pPr>
              <w:ind w:left="0"/>
              <w:jc w:val="left"/>
            </w:pPr>
            <w:r>
              <w:t>Version Number</w:t>
            </w:r>
          </w:p>
        </w:tc>
        <w:tc>
          <w:tcPr>
            <w:tcW w:w="1421" w:type="dxa"/>
          </w:tcPr>
          <w:p w14:paraId="6E92E866" w14:textId="77777777" w:rsidR="00EC6CE9" w:rsidRDefault="00EC6CE9" w:rsidP="00481CB3">
            <w:pPr>
              <w:ind w:left="0"/>
              <w:jc w:val="left"/>
            </w:pPr>
            <w:r>
              <w:t>Issue Date</w:t>
            </w:r>
          </w:p>
        </w:tc>
        <w:tc>
          <w:tcPr>
            <w:tcW w:w="6804" w:type="dxa"/>
          </w:tcPr>
          <w:p w14:paraId="14EA94DB" w14:textId="1BF9CDA4" w:rsidR="00EC6CE9" w:rsidRDefault="00EC6CE9" w:rsidP="00481CB3">
            <w:pPr>
              <w:ind w:left="0"/>
              <w:jc w:val="left"/>
            </w:pPr>
            <w:r>
              <w:t>Description of Change</w:t>
            </w:r>
          </w:p>
        </w:tc>
      </w:tr>
      <w:tr w:rsidR="00EC6CE9" w14:paraId="13DA49FD" w14:textId="77777777" w:rsidTr="00EC6CE9">
        <w:trPr>
          <w:trHeight w:val="269"/>
        </w:trPr>
        <w:tc>
          <w:tcPr>
            <w:tcW w:w="1410" w:type="dxa"/>
          </w:tcPr>
          <w:p w14:paraId="46B30E51" w14:textId="5145C700" w:rsidR="00EC6CE9" w:rsidRDefault="00EC6CE9" w:rsidP="00D73ECB">
            <w:pPr>
              <w:jc w:val="center"/>
            </w:pPr>
            <w:r>
              <w:t>0.1</w:t>
            </w:r>
          </w:p>
        </w:tc>
        <w:tc>
          <w:tcPr>
            <w:tcW w:w="1421" w:type="dxa"/>
          </w:tcPr>
          <w:p w14:paraId="5E391583" w14:textId="77777777" w:rsidR="00EC6CE9" w:rsidRDefault="00EC6CE9" w:rsidP="00D73ECB">
            <w:pPr>
              <w:jc w:val="center"/>
            </w:pPr>
          </w:p>
        </w:tc>
        <w:tc>
          <w:tcPr>
            <w:tcW w:w="6804" w:type="dxa"/>
          </w:tcPr>
          <w:p w14:paraId="4EFB257F" w14:textId="7CF01A0C" w:rsidR="00EC6CE9" w:rsidRDefault="00EC6CE9" w:rsidP="00D73ECB">
            <w:pPr>
              <w:jc w:val="center"/>
            </w:pPr>
            <w:r>
              <w:t>1</w:t>
            </w:r>
            <w:r>
              <w:rPr>
                <w:vertAlign w:val="superscript"/>
              </w:rPr>
              <w:t>st</w:t>
            </w:r>
            <w:r>
              <w:t xml:space="preserve"> Draft from MAV/JLT</w:t>
            </w:r>
          </w:p>
        </w:tc>
      </w:tr>
      <w:tr w:rsidR="00EC6CE9" w14:paraId="1F0A72D2" w14:textId="77777777" w:rsidTr="00EC6CE9">
        <w:trPr>
          <w:trHeight w:val="269"/>
        </w:trPr>
        <w:tc>
          <w:tcPr>
            <w:tcW w:w="1410" w:type="dxa"/>
          </w:tcPr>
          <w:p w14:paraId="0547CBB8" w14:textId="22243067" w:rsidR="00EC6CE9" w:rsidRDefault="00EC6CE9" w:rsidP="00EC6CE9">
            <w:pPr>
              <w:jc w:val="center"/>
            </w:pPr>
            <w:r>
              <w:lastRenderedPageBreak/>
              <w:t>0.2</w:t>
            </w:r>
          </w:p>
        </w:tc>
        <w:tc>
          <w:tcPr>
            <w:tcW w:w="1421" w:type="dxa"/>
          </w:tcPr>
          <w:p w14:paraId="2E5F00D3" w14:textId="4D3062B6" w:rsidR="00EC6CE9" w:rsidRDefault="00EC6CE9" w:rsidP="00EC6CE9">
            <w:pPr>
              <w:jc w:val="center"/>
            </w:pPr>
            <w:r>
              <w:t>22.05.2019</w:t>
            </w:r>
          </w:p>
        </w:tc>
        <w:tc>
          <w:tcPr>
            <w:tcW w:w="6804" w:type="dxa"/>
          </w:tcPr>
          <w:p w14:paraId="0DAF7439" w14:textId="79F38E57" w:rsidR="00EC6CE9" w:rsidRDefault="00EC6CE9" w:rsidP="00EC6CE9">
            <w:pPr>
              <w:jc w:val="center"/>
            </w:pPr>
            <w:r>
              <w:t>Accepted by OHS Policy Sub-Committee</w:t>
            </w:r>
          </w:p>
        </w:tc>
      </w:tr>
      <w:tr w:rsidR="00EC6CE9" w14:paraId="5DCFAE85" w14:textId="77777777" w:rsidTr="00EC6CE9">
        <w:trPr>
          <w:trHeight w:val="269"/>
        </w:trPr>
        <w:tc>
          <w:tcPr>
            <w:tcW w:w="1410" w:type="dxa"/>
          </w:tcPr>
          <w:p w14:paraId="38552203" w14:textId="1576A4E5" w:rsidR="00EC6CE9" w:rsidRDefault="00EC6CE9" w:rsidP="00EC6CE9">
            <w:pPr>
              <w:jc w:val="center"/>
            </w:pPr>
            <w:r>
              <w:t>0.3</w:t>
            </w:r>
          </w:p>
        </w:tc>
        <w:tc>
          <w:tcPr>
            <w:tcW w:w="1421" w:type="dxa"/>
          </w:tcPr>
          <w:p w14:paraId="3506A249" w14:textId="5447D1A2" w:rsidR="00EC6CE9" w:rsidRDefault="00EC6CE9" w:rsidP="00EC6CE9">
            <w:pPr>
              <w:jc w:val="center"/>
            </w:pPr>
            <w:r>
              <w:t>24.06.2019</w:t>
            </w:r>
          </w:p>
        </w:tc>
        <w:tc>
          <w:tcPr>
            <w:tcW w:w="6804" w:type="dxa"/>
          </w:tcPr>
          <w:p w14:paraId="5A8C9226" w14:textId="6D4BD22F" w:rsidR="00EC6CE9" w:rsidRDefault="00EC6CE9" w:rsidP="00EC6CE9">
            <w:pPr>
              <w:tabs>
                <w:tab w:val="left" w:pos="1580"/>
              </w:tabs>
              <w:jc w:val="center"/>
            </w:pPr>
            <w:r>
              <w:t>2</w:t>
            </w:r>
            <w:r w:rsidRPr="003168C7">
              <w:rPr>
                <w:vertAlign w:val="superscript"/>
              </w:rPr>
              <w:t>nd</w:t>
            </w:r>
            <w:r>
              <w:t xml:space="preserve"> Draft following All Staff consultation</w:t>
            </w:r>
          </w:p>
        </w:tc>
      </w:tr>
      <w:tr w:rsidR="00EC6CE9" w14:paraId="53BA2BE9" w14:textId="77777777" w:rsidTr="00EC6CE9">
        <w:trPr>
          <w:trHeight w:val="269"/>
        </w:trPr>
        <w:tc>
          <w:tcPr>
            <w:tcW w:w="1410" w:type="dxa"/>
          </w:tcPr>
          <w:p w14:paraId="036701AE" w14:textId="2F8D7A5A" w:rsidR="00EC6CE9" w:rsidRDefault="00EC6CE9" w:rsidP="00EC6CE9">
            <w:pPr>
              <w:tabs>
                <w:tab w:val="left" w:pos="1052"/>
              </w:tabs>
              <w:jc w:val="center"/>
            </w:pPr>
            <w:r>
              <w:t>0.4</w:t>
            </w:r>
          </w:p>
        </w:tc>
        <w:tc>
          <w:tcPr>
            <w:tcW w:w="1421" w:type="dxa"/>
          </w:tcPr>
          <w:p w14:paraId="21B83020" w14:textId="624214CF" w:rsidR="00EC6CE9" w:rsidRDefault="00EC6CE9" w:rsidP="00EC6CE9">
            <w:pPr>
              <w:jc w:val="center"/>
            </w:pPr>
            <w:r>
              <w:t>11.07.2019</w:t>
            </w:r>
          </w:p>
        </w:tc>
        <w:tc>
          <w:tcPr>
            <w:tcW w:w="6804" w:type="dxa"/>
          </w:tcPr>
          <w:p w14:paraId="321B1324" w14:textId="35194C52" w:rsidR="00EC6CE9" w:rsidRDefault="00EC6CE9" w:rsidP="00EC6CE9">
            <w:pPr>
              <w:jc w:val="center"/>
            </w:pPr>
            <w:r>
              <w:t>Consensus not reached by OHS Policy Sub-Committee. Referred to full OHS Committee</w:t>
            </w:r>
          </w:p>
        </w:tc>
      </w:tr>
      <w:tr w:rsidR="00EC6CE9" w14:paraId="5F5423EA" w14:textId="77777777" w:rsidTr="00EC6CE9">
        <w:trPr>
          <w:trHeight w:val="269"/>
        </w:trPr>
        <w:tc>
          <w:tcPr>
            <w:tcW w:w="1410" w:type="dxa"/>
          </w:tcPr>
          <w:p w14:paraId="71D9F225" w14:textId="6DF39F25" w:rsidR="00EC6CE9" w:rsidRDefault="00EC6CE9" w:rsidP="00EC6CE9">
            <w:pPr>
              <w:tabs>
                <w:tab w:val="left" w:pos="1052"/>
              </w:tabs>
              <w:jc w:val="center"/>
            </w:pPr>
            <w:r>
              <w:t>0.4</w:t>
            </w:r>
          </w:p>
        </w:tc>
        <w:tc>
          <w:tcPr>
            <w:tcW w:w="1421" w:type="dxa"/>
          </w:tcPr>
          <w:p w14:paraId="512B5832" w14:textId="1C2524B0" w:rsidR="00EC6CE9" w:rsidRDefault="00EC6CE9" w:rsidP="00EC6CE9">
            <w:pPr>
              <w:jc w:val="center"/>
            </w:pPr>
            <w:r>
              <w:t>08.08.2019</w:t>
            </w:r>
          </w:p>
        </w:tc>
        <w:tc>
          <w:tcPr>
            <w:tcW w:w="6804" w:type="dxa"/>
          </w:tcPr>
          <w:p w14:paraId="5BD6ED22" w14:textId="2BE04CA0" w:rsidR="00EC6CE9" w:rsidRDefault="00EC6CE9" w:rsidP="00EC6CE9">
            <w:pPr>
              <w:jc w:val="center"/>
            </w:pPr>
            <w:r>
              <w:t>Full OHS Committee agreed to re-word clause and re-send to All Staff consultation</w:t>
            </w:r>
          </w:p>
        </w:tc>
      </w:tr>
      <w:tr w:rsidR="00EC6CE9" w14:paraId="1FB1C185" w14:textId="77777777" w:rsidTr="00EC6CE9">
        <w:trPr>
          <w:trHeight w:val="269"/>
        </w:trPr>
        <w:tc>
          <w:tcPr>
            <w:tcW w:w="1410" w:type="dxa"/>
          </w:tcPr>
          <w:p w14:paraId="09A1EB1E" w14:textId="3E98407E" w:rsidR="00EC6CE9" w:rsidRDefault="00EC6CE9" w:rsidP="00EC6CE9">
            <w:pPr>
              <w:tabs>
                <w:tab w:val="left" w:pos="1052"/>
              </w:tabs>
              <w:jc w:val="center"/>
            </w:pPr>
            <w:r>
              <w:t>0.5</w:t>
            </w:r>
          </w:p>
        </w:tc>
        <w:tc>
          <w:tcPr>
            <w:tcW w:w="1421" w:type="dxa"/>
          </w:tcPr>
          <w:p w14:paraId="23C58B15" w14:textId="57FD4575" w:rsidR="00EC6CE9" w:rsidRDefault="00EC6CE9" w:rsidP="00EC6CE9">
            <w:pPr>
              <w:jc w:val="center"/>
            </w:pPr>
            <w:r>
              <w:t>10.10.2019</w:t>
            </w:r>
          </w:p>
        </w:tc>
        <w:tc>
          <w:tcPr>
            <w:tcW w:w="6804" w:type="dxa"/>
          </w:tcPr>
          <w:p w14:paraId="6FCCD26E" w14:textId="660C7AF5" w:rsidR="00EC6CE9" w:rsidRDefault="00EC6CE9" w:rsidP="00EC6CE9">
            <w:pPr>
              <w:jc w:val="center"/>
            </w:pPr>
            <w:r>
              <w:t>Accepted by OHS Policy Sub-Committee</w:t>
            </w:r>
          </w:p>
        </w:tc>
      </w:tr>
      <w:tr w:rsidR="00EC6CE9" w14:paraId="22FD787D" w14:textId="77777777" w:rsidTr="00EC6CE9">
        <w:trPr>
          <w:trHeight w:val="269"/>
        </w:trPr>
        <w:tc>
          <w:tcPr>
            <w:tcW w:w="1410" w:type="dxa"/>
          </w:tcPr>
          <w:p w14:paraId="36828C7F" w14:textId="4683AB26" w:rsidR="00EC6CE9" w:rsidRDefault="00EC6CE9" w:rsidP="00EC6CE9">
            <w:pPr>
              <w:tabs>
                <w:tab w:val="left" w:pos="1052"/>
              </w:tabs>
              <w:jc w:val="center"/>
            </w:pPr>
            <w:r>
              <w:t>0.5</w:t>
            </w:r>
          </w:p>
        </w:tc>
        <w:tc>
          <w:tcPr>
            <w:tcW w:w="1421" w:type="dxa"/>
          </w:tcPr>
          <w:p w14:paraId="4954A300" w14:textId="2A5E8B52" w:rsidR="00EC6CE9" w:rsidRDefault="00EC6CE9" w:rsidP="00EC6CE9">
            <w:pPr>
              <w:jc w:val="center"/>
            </w:pPr>
            <w:r>
              <w:t>18.11.2019</w:t>
            </w:r>
          </w:p>
        </w:tc>
        <w:tc>
          <w:tcPr>
            <w:tcW w:w="6804" w:type="dxa"/>
          </w:tcPr>
          <w:p w14:paraId="06205F87" w14:textId="1699ACD1" w:rsidR="00EC6CE9" w:rsidRDefault="00EC6CE9" w:rsidP="00EC6CE9">
            <w:pPr>
              <w:jc w:val="center"/>
            </w:pPr>
            <w:r>
              <w:t>14 Day Employee Consultation</w:t>
            </w:r>
          </w:p>
        </w:tc>
      </w:tr>
      <w:tr w:rsidR="00EC6CE9" w14:paraId="08272BEA" w14:textId="77777777" w:rsidTr="00EC6CE9">
        <w:trPr>
          <w:trHeight w:val="269"/>
        </w:trPr>
        <w:tc>
          <w:tcPr>
            <w:tcW w:w="1410" w:type="dxa"/>
          </w:tcPr>
          <w:p w14:paraId="05D205A3" w14:textId="45DE96FC" w:rsidR="00EC6CE9" w:rsidRDefault="00EC6CE9" w:rsidP="00EC6CE9">
            <w:pPr>
              <w:tabs>
                <w:tab w:val="left" w:pos="1052"/>
              </w:tabs>
              <w:jc w:val="center"/>
            </w:pPr>
            <w:r>
              <w:t>1.0</w:t>
            </w:r>
          </w:p>
        </w:tc>
        <w:tc>
          <w:tcPr>
            <w:tcW w:w="1421" w:type="dxa"/>
          </w:tcPr>
          <w:p w14:paraId="652F035F" w14:textId="4AC00C54" w:rsidR="00EC6CE9" w:rsidRDefault="00EC6CE9" w:rsidP="00EC6CE9">
            <w:pPr>
              <w:jc w:val="center"/>
            </w:pPr>
            <w:r>
              <w:t>Nov 2019</w:t>
            </w:r>
          </w:p>
        </w:tc>
        <w:tc>
          <w:tcPr>
            <w:tcW w:w="6804" w:type="dxa"/>
          </w:tcPr>
          <w:p w14:paraId="61189C0B" w14:textId="0B52D78C" w:rsidR="00EC6CE9" w:rsidRDefault="00EC6CE9" w:rsidP="00EC6CE9">
            <w:pPr>
              <w:tabs>
                <w:tab w:val="left" w:pos="3231"/>
              </w:tabs>
              <w:jc w:val="center"/>
            </w:pPr>
            <w:r>
              <w:t>Approved by OHS Oversight Team</w:t>
            </w:r>
          </w:p>
        </w:tc>
      </w:tr>
      <w:tr w:rsidR="00EC6CE9" w14:paraId="580C34AC" w14:textId="77777777" w:rsidTr="00EC6CE9">
        <w:trPr>
          <w:trHeight w:val="269"/>
        </w:trPr>
        <w:tc>
          <w:tcPr>
            <w:tcW w:w="1410" w:type="dxa"/>
          </w:tcPr>
          <w:p w14:paraId="5ADD1B6A" w14:textId="4E3C12A6" w:rsidR="00EC6CE9" w:rsidRDefault="00EC6CE9" w:rsidP="00EC6CE9">
            <w:pPr>
              <w:tabs>
                <w:tab w:val="left" w:pos="1052"/>
              </w:tabs>
              <w:jc w:val="center"/>
            </w:pPr>
            <w:r>
              <w:t>1.1</w:t>
            </w:r>
          </w:p>
        </w:tc>
        <w:tc>
          <w:tcPr>
            <w:tcW w:w="1421" w:type="dxa"/>
          </w:tcPr>
          <w:p w14:paraId="6F71A618" w14:textId="73D171FA" w:rsidR="00EC6CE9" w:rsidRDefault="00EC6CE9" w:rsidP="00EC6CE9">
            <w:pPr>
              <w:jc w:val="center"/>
            </w:pPr>
            <w:r>
              <w:t>May 2024</w:t>
            </w:r>
          </w:p>
        </w:tc>
        <w:tc>
          <w:tcPr>
            <w:tcW w:w="6804" w:type="dxa"/>
          </w:tcPr>
          <w:p w14:paraId="267455CC" w14:textId="5FE8BFF6" w:rsidR="00EC6CE9" w:rsidRDefault="00EC6CE9" w:rsidP="00EC6CE9">
            <w:pPr>
              <w:tabs>
                <w:tab w:val="left" w:pos="3231"/>
              </w:tabs>
              <w:jc w:val="center"/>
            </w:pPr>
            <w:r>
              <w:t>3</w:t>
            </w:r>
            <w:r w:rsidRPr="00B300DB">
              <w:rPr>
                <w:vertAlign w:val="superscript"/>
              </w:rPr>
              <w:t>rd</w:t>
            </w:r>
            <w:r>
              <w:t xml:space="preserve"> Draft by OHS Team</w:t>
            </w:r>
          </w:p>
        </w:tc>
      </w:tr>
      <w:tr w:rsidR="00EC6CE9" w14:paraId="13FA16F9" w14:textId="77777777" w:rsidTr="00EC6CE9">
        <w:trPr>
          <w:trHeight w:val="269"/>
        </w:trPr>
        <w:tc>
          <w:tcPr>
            <w:tcW w:w="1410" w:type="dxa"/>
          </w:tcPr>
          <w:p w14:paraId="1851A6D0" w14:textId="024EAE81" w:rsidR="00EC6CE9" w:rsidRDefault="00EC6CE9" w:rsidP="00EC6CE9">
            <w:pPr>
              <w:tabs>
                <w:tab w:val="left" w:pos="1052"/>
              </w:tabs>
              <w:jc w:val="center"/>
            </w:pPr>
            <w:r>
              <w:t>1.2</w:t>
            </w:r>
          </w:p>
        </w:tc>
        <w:tc>
          <w:tcPr>
            <w:tcW w:w="1421" w:type="dxa"/>
          </w:tcPr>
          <w:p w14:paraId="0F793CA0" w14:textId="307065CF" w:rsidR="00EC6CE9" w:rsidRDefault="00EC6CE9" w:rsidP="00EC6CE9">
            <w:pPr>
              <w:jc w:val="center"/>
            </w:pPr>
            <w:r>
              <w:t>May 2024</w:t>
            </w:r>
          </w:p>
        </w:tc>
        <w:tc>
          <w:tcPr>
            <w:tcW w:w="6804" w:type="dxa"/>
          </w:tcPr>
          <w:p w14:paraId="57E554FB" w14:textId="5BB0B547" w:rsidR="00EC6CE9" w:rsidRDefault="00EC6CE9" w:rsidP="00EC6CE9">
            <w:pPr>
              <w:tabs>
                <w:tab w:val="left" w:pos="3231"/>
              </w:tabs>
              <w:jc w:val="center"/>
            </w:pPr>
            <w:r>
              <w:t>Accepted by OHS Policy Sub-Committee</w:t>
            </w:r>
          </w:p>
        </w:tc>
      </w:tr>
      <w:tr w:rsidR="00EC6CE9" w14:paraId="4BE43895" w14:textId="77777777" w:rsidTr="00EC6CE9">
        <w:trPr>
          <w:trHeight w:val="269"/>
        </w:trPr>
        <w:tc>
          <w:tcPr>
            <w:tcW w:w="1410" w:type="dxa"/>
          </w:tcPr>
          <w:p w14:paraId="61E0A7BB" w14:textId="46666D0B" w:rsidR="00EC6CE9" w:rsidRDefault="00EC6CE9" w:rsidP="00EC6CE9">
            <w:pPr>
              <w:tabs>
                <w:tab w:val="left" w:pos="1052"/>
              </w:tabs>
              <w:jc w:val="center"/>
            </w:pPr>
            <w:r>
              <w:t>1.3</w:t>
            </w:r>
          </w:p>
        </w:tc>
        <w:tc>
          <w:tcPr>
            <w:tcW w:w="1421" w:type="dxa"/>
          </w:tcPr>
          <w:p w14:paraId="028FAE4B" w14:textId="2B580DE1" w:rsidR="00EC6CE9" w:rsidRDefault="0034276C" w:rsidP="00EC6CE9">
            <w:pPr>
              <w:jc w:val="center"/>
            </w:pPr>
            <w:r>
              <w:t>July 2024</w:t>
            </w:r>
          </w:p>
        </w:tc>
        <w:tc>
          <w:tcPr>
            <w:tcW w:w="6804" w:type="dxa"/>
          </w:tcPr>
          <w:p w14:paraId="6816C082" w14:textId="6ED2DB15" w:rsidR="00EC6CE9" w:rsidRDefault="00EC6CE9" w:rsidP="00EC6CE9">
            <w:pPr>
              <w:tabs>
                <w:tab w:val="left" w:pos="3231"/>
              </w:tabs>
              <w:jc w:val="center"/>
            </w:pPr>
            <w:r>
              <w:t>14 Day Employee Consultation completed</w:t>
            </w:r>
          </w:p>
        </w:tc>
      </w:tr>
      <w:tr w:rsidR="007B3708" w14:paraId="205B10FD" w14:textId="77777777" w:rsidTr="00EC6CE9">
        <w:trPr>
          <w:trHeight w:val="269"/>
        </w:trPr>
        <w:tc>
          <w:tcPr>
            <w:tcW w:w="1410" w:type="dxa"/>
          </w:tcPr>
          <w:p w14:paraId="09503FAA" w14:textId="7D046ABB" w:rsidR="007B3708" w:rsidRDefault="007B3708" w:rsidP="00EC6CE9">
            <w:pPr>
              <w:tabs>
                <w:tab w:val="left" w:pos="1052"/>
              </w:tabs>
              <w:jc w:val="center"/>
            </w:pPr>
            <w:r>
              <w:t>1.4</w:t>
            </w:r>
          </w:p>
        </w:tc>
        <w:tc>
          <w:tcPr>
            <w:tcW w:w="1421" w:type="dxa"/>
          </w:tcPr>
          <w:p w14:paraId="66A71507" w14:textId="1A05AA8C" w:rsidR="007B3708" w:rsidRDefault="007B3708" w:rsidP="00EC6CE9">
            <w:pPr>
              <w:jc w:val="center"/>
            </w:pPr>
            <w:r>
              <w:t>April 2025</w:t>
            </w:r>
          </w:p>
        </w:tc>
        <w:tc>
          <w:tcPr>
            <w:tcW w:w="6804" w:type="dxa"/>
          </w:tcPr>
          <w:p w14:paraId="32DE9731" w14:textId="29EFD04D" w:rsidR="007B3708" w:rsidRDefault="007B3708" w:rsidP="00EC6CE9">
            <w:pPr>
              <w:tabs>
                <w:tab w:val="left" w:pos="3231"/>
              </w:tabs>
              <w:jc w:val="center"/>
            </w:pPr>
            <w:r>
              <w:t>4</w:t>
            </w:r>
            <w:r w:rsidRPr="007B3708">
              <w:rPr>
                <w:vertAlign w:val="superscript"/>
              </w:rPr>
              <w:t>th</w:t>
            </w:r>
            <w:r>
              <w:t xml:space="preserve"> Draft by OHS Team</w:t>
            </w:r>
          </w:p>
        </w:tc>
      </w:tr>
      <w:tr w:rsidR="00CC7945" w14:paraId="2BF468F5" w14:textId="77777777" w:rsidTr="00EC6CE9">
        <w:trPr>
          <w:trHeight w:val="269"/>
        </w:trPr>
        <w:tc>
          <w:tcPr>
            <w:tcW w:w="1410" w:type="dxa"/>
          </w:tcPr>
          <w:p w14:paraId="75341C06" w14:textId="776AF03C" w:rsidR="00CC7945" w:rsidRDefault="00CC7945" w:rsidP="00EC6CE9">
            <w:pPr>
              <w:tabs>
                <w:tab w:val="left" w:pos="1052"/>
              </w:tabs>
              <w:jc w:val="center"/>
            </w:pPr>
            <w:r>
              <w:t>1.5</w:t>
            </w:r>
          </w:p>
        </w:tc>
        <w:tc>
          <w:tcPr>
            <w:tcW w:w="1421" w:type="dxa"/>
          </w:tcPr>
          <w:p w14:paraId="6B2415AD" w14:textId="4F87E545" w:rsidR="00CC7945" w:rsidRDefault="00001171" w:rsidP="00EC6CE9">
            <w:pPr>
              <w:jc w:val="center"/>
            </w:pPr>
            <w:r>
              <w:t>May 2025</w:t>
            </w:r>
          </w:p>
        </w:tc>
        <w:tc>
          <w:tcPr>
            <w:tcW w:w="6804" w:type="dxa"/>
          </w:tcPr>
          <w:p w14:paraId="626085A8" w14:textId="675D992F" w:rsidR="00CC7945" w:rsidRDefault="00CC7945" w:rsidP="00EC6CE9">
            <w:pPr>
              <w:tabs>
                <w:tab w:val="left" w:pos="3231"/>
              </w:tabs>
              <w:jc w:val="center"/>
            </w:pPr>
            <w:r>
              <w:t>Accepted by OHS Policy Sub-Committee</w:t>
            </w:r>
          </w:p>
        </w:tc>
      </w:tr>
      <w:tr w:rsidR="007B3708" w14:paraId="20254A2A" w14:textId="77777777" w:rsidTr="00EC6CE9">
        <w:trPr>
          <w:trHeight w:val="269"/>
        </w:trPr>
        <w:tc>
          <w:tcPr>
            <w:tcW w:w="1410" w:type="dxa"/>
          </w:tcPr>
          <w:p w14:paraId="73B067FD" w14:textId="7D1DD992" w:rsidR="007B3708" w:rsidRDefault="007B3708" w:rsidP="00EC6CE9">
            <w:pPr>
              <w:tabs>
                <w:tab w:val="left" w:pos="1052"/>
              </w:tabs>
              <w:jc w:val="center"/>
            </w:pPr>
            <w:r>
              <w:t>1.</w:t>
            </w:r>
            <w:r w:rsidR="00CC7945">
              <w:t>6</w:t>
            </w:r>
          </w:p>
        </w:tc>
        <w:tc>
          <w:tcPr>
            <w:tcW w:w="1421" w:type="dxa"/>
          </w:tcPr>
          <w:p w14:paraId="5192417B" w14:textId="77777777" w:rsidR="007B3708" w:rsidRDefault="007B3708" w:rsidP="00EC6CE9">
            <w:pPr>
              <w:jc w:val="center"/>
            </w:pPr>
          </w:p>
        </w:tc>
        <w:tc>
          <w:tcPr>
            <w:tcW w:w="6804" w:type="dxa"/>
          </w:tcPr>
          <w:p w14:paraId="72E6ED2A" w14:textId="1D998BA8" w:rsidR="007B3708" w:rsidRDefault="007B3708" w:rsidP="00EC6CE9">
            <w:pPr>
              <w:tabs>
                <w:tab w:val="left" w:pos="3231"/>
              </w:tabs>
              <w:jc w:val="center"/>
            </w:pPr>
            <w:r>
              <w:t>14 Day Employee Consultation completed</w:t>
            </w:r>
          </w:p>
        </w:tc>
      </w:tr>
      <w:tr w:rsidR="0034276C" w14:paraId="2D6DF09F" w14:textId="77777777" w:rsidTr="00EC6CE9">
        <w:trPr>
          <w:trHeight w:val="269"/>
        </w:trPr>
        <w:tc>
          <w:tcPr>
            <w:tcW w:w="1410" w:type="dxa"/>
          </w:tcPr>
          <w:p w14:paraId="3A2AE2D0" w14:textId="6082F9D6" w:rsidR="0034276C" w:rsidRDefault="0034276C" w:rsidP="00EC6CE9">
            <w:pPr>
              <w:tabs>
                <w:tab w:val="left" w:pos="1052"/>
              </w:tabs>
              <w:jc w:val="center"/>
            </w:pPr>
            <w:r>
              <w:t>2.0</w:t>
            </w:r>
          </w:p>
        </w:tc>
        <w:tc>
          <w:tcPr>
            <w:tcW w:w="1421" w:type="dxa"/>
          </w:tcPr>
          <w:p w14:paraId="1A4C1ECE" w14:textId="77777777" w:rsidR="0034276C" w:rsidRDefault="0034276C" w:rsidP="00EC6CE9">
            <w:pPr>
              <w:jc w:val="center"/>
            </w:pPr>
          </w:p>
        </w:tc>
        <w:tc>
          <w:tcPr>
            <w:tcW w:w="6804" w:type="dxa"/>
          </w:tcPr>
          <w:p w14:paraId="7546851F" w14:textId="2C1242B3" w:rsidR="0034276C" w:rsidRDefault="0034276C" w:rsidP="00EC6CE9">
            <w:pPr>
              <w:tabs>
                <w:tab w:val="left" w:pos="3231"/>
              </w:tabs>
              <w:jc w:val="center"/>
            </w:pPr>
            <w:r>
              <w:t>Approved by the OHS Committee</w:t>
            </w:r>
          </w:p>
        </w:tc>
      </w:tr>
    </w:tbl>
    <w:p w14:paraId="28336FB3" w14:textId="77777777" w:rsidR="00410BA7" w:rsidRDefault="00410BA7" w:rsidP="00481CB3">
      <w:pPr>
        <w:jc w:val="left"/>
      </w:pPr>
    </w:p>
    <w:p w14:paraId="6B9017BD" w14:textId="4A1F9DEA" w:rsidR="00BD1DF7" w:rsidRDefault="00BD1DF7" w:rsidP="00481CB3">
      <w:pPr>
        <w:ind w:left="0"/>
        <w:jc w:val="left"/>
      </w:pPr>
    </w:p>
    <w:p w14:paraId="0B56E320" w14:textId="7D30C0F4" w:rsidR="006006DF" w:rsidRDefault="00CC7945" w:rsidP="00CC7945">
      <w:pPr>
        <w:tabs>
          <w:tab w:val="left" w:pos="7850"/>
        </w:tabs>
        <w:ind w:left="0"/>
        <w:jc w:val="left"/>
      </w:pPr>
      <w:r>
        <w:tab/>
      </w:r>
    </w:p>
    <w:p w14:paraId="72EFB6CC" w14:textId="77777777" w:rsidR="006006DF" w:rsidRDefault="006006DF" w:rsidP="00481CB3">
      <w:pPr>
        <w:ind w:left="0"/>
        <w:jc w:val="left"/>
      </w:pPr>
    </w:p>
    <w:p w14:paraId="34B8B88A" w14:textId="77777777" w:rsidR="006006DF" w:rsidRDefault="006006DF" w:rsidP="00481CB3">
      <w:pPr>
        <w:ind w:left="0"/>
        <w:jc w:val="left"/>
      </w:pPr>
    </w:p>
    <w:p w14:paraId="0B7A9EF0" w14:textId="77777777" w:rsidR="006006DF" w:rsidRDefault="006006DF" w:rsidP="00481CB3">
      <w:pPr>
        <w:ind w:left="0"/>
        <w:jc w:val="left"/>
      </w:pPr>
    </w:p>
    <w:p w14:paraId="76B08FCD" w14:textId="77777777" w:rsidR="006006DF" w:rsidRDefault="006006DF" w:rsidP="00481CB3">
      <w:pPr>
        <w:ind w:left="0"/>
        <w:jc w:val="left"/>
      </w:pPr>
    </w:p>
    <w:p w14:paraId="71BBA4F3" w14:textId="77777777" w:rsidR="006006DF" w:rsidRDefault="006006DF" w:rsidP="00481CB3">
      <w:pPr>
        <w:ind w:left="0"/>
        <w:jc w:val="left"/>
      </w:pPr>
    </w:p>
    <w:p w14:paraId="59DD243D" w14:textId="77777777" w:rsidR="006006DF" w:rsidRDefault="006006DF" w:rsidP="00481CB3">
      <w:pPr>
        <w:ind w:left="0"/>
        <w:jc w:val="left"/>
      </w:pPr>
    </w:p>
    <w:p w14:paraId="0F4BA3B8" w14:textId="77777777" w:rsidR="006006DF" w:rsidRDefault="006006DF" w:rsidP="00481CB3">
      <w:pPr>
        <w:ind w:left="0"/>
        <w:jc w:val="left"/>
      </w:pPr>
    </w:p>
    <w:p w14:paraId="1C4A90AE" w14:textId="77777777" w:rsidR="006006DF" w:rsidRDefault="006006DF" w:rsidP="00481CB3">
      <w:pPr>
        <w:ind w:left="0"/>
        <w:jc w:val="left"/>
      </w:pPr>
    </w:p>
    <w:p w14:paraId="11CE7078" w14:textId="77777777" w:rsidR="006006DF" w:rsidRDefault="006006DF" w:rsidP="00481CB3">
      <w:pPr>
        <w:ind w:left="0"/>
        <w:jc w:val="left"/>
      </w:pPr>
    </w:p>
    <w:p w14:paraId="61A126ED" w14:textId="77777777" w:rsidR="006006DF" w:rsidRDefault="006006DF" w:rsidP="00481CB3">
      <w:pPr>
        <w:ind w:left="0"/>
        <w:jc w:val="left"/>
      </w:pPr>
    </w:p>
    <w:p w14:paraId="6B04BF05" w14:textId="77777777" w:rsidR="006006DF" w:rsidRDefault="006006DF" w:rsidP="00481CB3">
      <w:pPr>
        <w:ind w:left="0"/>
        <w:jc w:val="left"/>
      </w:pPr>
    </w:p>
    <w:p w14:paraId="414E0802" w14:textId="77777777" w:rsidR="006006DF" w:rsidRDefault="006006DF" w:rsidP="00481CB3">
      <w:pPr>
        <w:ind w:left="0"/>
        <w:jc w:val="left"/>
      </w:pPr>
    </w:p>
    <w:p w14:paraId="10279A48" w14:textId="77777777" w:rsidR="006006DF" w:rsidRDefault="006006DF" w:rsidP="00481CB3">
      <w:pPr>
        <w:ind w:left="0"/>
        <w:jc w:val="left"/>
      </w:pPr>
    </w:p>
    <w:p w14:paraId="58DB274C" w14:textId="77777777" w:rsidR="006006DF" w:rsidRDefault="006006DF" w:rsidP="00481CB3">
      <w:pPr>
        <w:ind w:left="0"/>
        <w:jc w:val="left"/>
      </w:pPr>
    </w:p>
    <w:p w14:paraId="3F190609" w14:textId="77777777" w:rsidR="006006DF" w:rsidRDefault="006006DF" w:rsidP="00481CB3">
      <w:pPr>
        <w:ind w:left="0"/>
        <w:jc w:val="left"/>
      </w:pPr>
    </w:p>
    <w:p w14:paraId="6AAC9446" w14:textId="77777777" w:rsidR="006006DF" w:rsidRDefault="006006DF" w:rsidP="00481CB3">
      <w:pPr>
        <w:ind w:left="0"/>
        <w:jc w:val="left"/>
      </w:pPr>
    </w:p>
    <w:p w14:paraId="2386142F" w14:textId="77777777" w:rsidR="006006DF" w:rsidRDefault="006006DF" w:rsidP="00481CB3">
      <w:pPr>
        <w:ind w:left="0"/>
        <w:jc w:val="left"/>
      </w:pPr>
    </w:p>
    <w:p w14:paraId="489B74CD" w14:textId="77777777" w:rsidR="006006DF" w:rsidRDefault="006006DF" w:rsidP="00481CB3">
      <w:pPr>
        <w:ind w:left="0"/>
        <w:jc w:val="left"/>
      </w:pPr>
    </w:p>
    <w:p w14:paraId="5DED7B64" w14:textId="77777777" w:rsidR="006006DF" w:rsidRDefault="006006DF" w:rsidP="00481CB3">
      <w:pPr>
        <w:ind w:left="0"/>
        <w:jc w:val="left"/>
      </w:pPr>
    </w:p>
    <w:p w14:paraId="40CBA391" w14:textId="5B814297" w:rsidR="006E0DB6" w:rsidRPr="00C32D56" w:rsidRDefault="00F065C5" w:rsidP="006E0DB6">
      <w:pPr>
        <w:pStyle w:val="Heading-PART"/>
        <w:rPr>
          <w:caps w:val="0"/>
          <w:sz w:val="32"/>
        </w:rPr>
      </w:pPr>
      <w:bookmarkStart w:id="0" w:name="_Toc528069494"/>
      <w:r>
        <w:rPr>
          <w:caps w:val="0"/>
          <w:sz w:val="32"/>
        </w:rPr>
        <w:t>A</w:t>
      </w:r>
      <w:r w:rsidR="006E0DB6">
        <w:rPr>
          <w:caps w:val="0"/>
          <w:sz w:val="32"/>
        </w:rPr>
        <w:t xml:space="preserve">ppendix 1: </w:t>
      </w:r>
      <w:r w:rsidR="006E0DB6" w:rsidRPr="00C32D56">
        <w:rPr>
          <w:caps w:val="0"/>
          <w:sz w:val="32"/>
        </w:rPr>
        <w:t>Schedule 9—Hazardous substances—requirements for health monitoring</w:t>
      </w:r>
      <w:bookmarkEnd w:id="0"/>
    </w:p>
    <w:p w14:paraId="5F4EC5D2" w14:textId="77777777" w:rsidR="006E0DB6" w:rsidRPr="008B526B" w:rsidRDefault="006E0DB6" w:rsidP="006E0DB6">
      <w:pPr>
        <w:pStyle w:val="Normal-Schedule"/>
        <w:spacing w:after="120"/>
        <w:jc w:val="right"/>
      </w:pPr>
      <w:r w:rsidRPr="008B526B">
        <w:t xml:space="preserve">Regulation </w:t>
      </w:r>
      <w:r>
        <w:t>169</w:t>
      </w:r>
    </w:p>
    <w:p w14:paraId="6C07E274" w14:textId="77777777" w:rsidR="006E0DB6" w:rsidRPr="008B526B" w:rsidRDefault="006E0DB6" w:rsidP="006E0DB6">
      <w:pPr>
        <w:pStyle w:val="Normal-Schedule"/>
        <w:spacing w:before="240" w:after="120"/>
        <w:jc w:val="center"/>
        <w:rPr>
          <w:b/>
        </w:rPr>
      </w:pPr>
      <w:r>
        <w:rPr>
          <w:b/>
        </w:rPr>
        <w:t>Table 1—</w:t>
      </w:r>
      <w:r w:rsidRPr="008B526B">
        <w:rPr>
          <w:b/>
        </w:rPr>
        <w:t>Hazardous substances (other than lead) requiring</w:t>
      </w:r>
      <w:r>
        <w:rPr>
          <w:b/>
        </w:rPr>
        <w:t> </w:t>
      </w:r>
      <w:r w:rsidRPr="008B526B">
        <w:rPr>
          <w:b/>
        </w:rPr>
        <w:t>health</w:t>
      </w:r>
      <w:r>
        <w:rPr>
          <w:b/>
        </w:rPr>
        <w:t> </w:t>
      </w:r>
      <w:r w:rsidRPr="008B526B">
        <w:rPr>
          <w:b/>
        </w:rPr>
        <w:t>monitoring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9"/>
        <w:gridCol w:w="2805"/>
      </w:tblGrid>
      <w:tr w:rsidR="006E0DB6" w:rsidRPr="00171605" w14:paraId="64976C99" w14:textId="77777777" w:rsidTr="006E0DB6">
        <w:trPr>
          <w:jc w:val="center"/>
        </w:trPr>
        <w:tc>
          <w:tcPr>
            <w:tcW w:w="1389" w:type="dxa"/>
            <w:tcBorders>
              <w:top w:val="single" w:sz="4" w:space="0" w:color="auto"/>
              <w:bottom w:val="single" w:sz="4" w:space="0" w:color="auto"/>
            </w:tcBorders>
          </w:tcPr>
          <w:p w14:paraId="05875BD4" w14:textId="1CB64E6A" w:rsidR="006E0DB6" w:rsidRPr="00171605" w:rsidRDefault="006E0DB6" w:rsidP="00661989">
            <w:pPr>
              <w:widowControl w:val="0"/>
              <w:spacing w:before="60" w:after="60"/>
              <w:ind w:right="-70"/>
              <w:rPr>
                <w:rFonts w:eastAsia="Meiryo"/>
                <w:i/>
                <w:sz w:val="20"/>
                <w:szCs w:val="20"/>
              </w:rPr>
            </w:pPr>
            <w:r>
              <w:rPr>
                <w:rFonts w:eastAsia="Meiryo"/>
                <w:bCs/>
                <w:i/>
                <w:sz w:val="20"/>
                <w:szCs w:val="20"/>
              </w:rPr>
              <w:t xml:space="preserve"> </w:t>
            </w:r>
            <w:r w:rsidRPr="00171605">
              <w:rPr>
                <w:rFonts w:eastAsia="Meiryo"/>
                <w:bCs/>
                <w:i/>
                <w:sz w:val="20"/>
                <w:szCs w:val="20"/>
              </w:rPr>
              <w:t>Colu</w:t>
            </w:r>
            <w:r w:rsidRPr="00171605">
              <w:rPr>
                <w:rFonts w:eastAsia="Meiryo"/>
                <w:bCs/>
                <w:i/>
                <w:spacing w:val="-1"/>
                <w:sz w:val="20"/>
                <w:szCs w:val="20"/>
              </w:rPr>
              <w:t>m</w:t>
            </w:r>
            <w:r w:rsidRPr="00171605">
              <w:rPr>
                <w:rFonts w:eastAsia="Meiryo"/>
                <w:bCs/>
                <w:i/>
                <w:sz w:val="20"/>
                <w:szCs w:val="20"/>
              </w:rPr>
              <w:t>n</w:t>
            </w:r>
            <w:r w:rsidRPr="00171605">
              <w:rPr>
                <w:rFonts w:eastAsia="Meiryo"/>
                <w:bCs/>
                <w:i/>
                <w:spacing w:val="-1"/>
                <w:sz w:val="20"/>
                <w:szCs w:val="20"/>
              </w:rPr>
              <w:t xml:space="preserve"> </w:t>
            </w:r>
            <w:r w:rsidRPr="00171605">
              <w:rPr>
                <w:rFonts w:eastAsia="Meiryo"/>
                <w:bCs/>
                <w:i/>
                <w:sz w:val="20"/>
                <w:szCs w:val="20"/>
              </w:rPr>
              <w:t>1</w:t>
            </w:r>
          </w:p>
          <w:p w14:paraId="34DA85D8" w14:textId="18EAF607" w:rsidR="006E0DB6" w:rsidRPr="00171605" w:rsidRDefault="006E0DB6" w:rsidP="00661989">
            <w:pPr>
              <w:spacing w:before="60" w:after="60"/>
              <w:rPr>
                <w:i/>
                <w:sz w:val="20"/>
                <w:szCs w:val="20"/>
                <w:lang w:val="en-US"/>
              </w:rPr>
            </w:pPr>
            <w:r>
              <w:rPr>
                <w:rFonts w:eastAsia="Meiryo"/>
                <w:bCs/>
                <w:i/>
                <w:position w:val="-1"/>
                <w:sz w:val="20"/>
                <w:szCs w:val="20"/>
              </w:rPr>
              <w:t xml:space="preserve"> </w:t>
            </w:r>
            <w:r w:rsidRPr="00171605">
              <w:rPr>
                <w:rFonts w:eastAsia="Meiryo"/>
                <w:bCs/>
                <w:i/>
                <w:position w:val="-1"/>
                <w:sz w:val="20"/>
                <w:szCs w:val="20"/>
              </w:rPr>
              <w:t>Item</w:t>
            </w:r>
          </w:p>
        </w:tc>
        <w:tc>
          <w:tcPr>
            <w:tcW w:w="2805" w:type="dxa"/>
            <w:tcBorders>
              <w:top w:val="single" w:sz="4" w:space="0" w:color="auto"/>
              <w:bottom w:val="single" w:sz="4" w:space="0" w:color="auto"/>
            </w:tcBorders>
          </w:tcPr>
          <w:p w14:paraId="3E4D814A" w14:textId="4E6B783B" w:rsidR="006E0DB6" w:rsidRPr="00171605" w:rsidRDefault="006E0DB6" w:rsidP="00661989">
            <w:pPr>
              <w:widowControl w:val="0"/>
              <w:spacing w:before="60" w:after="60" w:line="230" w:lineRule="exact"/>
              <w:ind w:right="-54"/>
              <w:rPr>
                <w:i/>
                <w:sz w:val="20"/>
                <w:szCs w:val="20"/>
              </w:rPr>
            </w:pPr>
            <w:r>
              <w:rPr>
                <w:bCs/>
                <w:i/>
                <w:sz w:val="20"/>
                <w:szCs w:val="20"/>
              </w:rPr>
              <w:t xml:space="preserve"> </w:t>
            </w:r>
            <w:r w:rsidRPr="00171605">
              <w:rPr>
                <w:bCs/>
                <w:i/>
                <w:sz w:val="20"/>
                <w:szCs w:val="20"/>
              </w:rPr>
              <w:t>Colu</w:t>
            </w:r>
            <w:r w:rsidRPr="00171605">
              <w:rPr>
                <w:bCs/>
                <w:i/>
                <w:spacing w:val="-1"/>
                <w:sz w:val="20"/>
                <w:szCs w:val="20"/>
              </w:rPr>
              <w:t>m</w:t>
            </w:r>
            <w:r w:rsidRPr="00171605">
              <w:rPr>
                <w:bCs/>
                <w:i/>
                <w:sz w:val="20"/>
                <w:szCs w:val="20"/>
              </w:rPr>
              <w:t>n</w:t>
            </w:r>
            <w:r w:rsidRPr="00171605">
              <w:rPr>
                <w:bCs/>
                <w:i/>
                <w:spacing w:val="-1"/>
                <w:sz w:val="20"/>
                <w:szCs w:val="20"/>
              </w:rPr>
              <w:t xml:space="preserve"> </w:t>
            </w:r>
            <w:r w:rsidRPr="00171605">
              <w:rPr>
                <w:bCs/>
                <w:i/>
                <w:sz w:val="20"/>
                <w:szCs w:val="20"/>
              </w:rPr>
              <w:t>2</w:t>
            </w:r>
          </w:p>
          <w:p w14:paraId="3E65DB36" w14:textId="0BF04C93" w:rsidR="006E0DB6" w:rsidRPr="00171605" w:rsidRDefault="006E0DB6" w:rsidP="00661989">
            <w:pPr>
              <w:widowControl w:val="0"/>
              <w:spacing w:before="60" w:after="60" w:line="230" w:lineRule="exact"/>
              <w:ind w:right="-54"/>
              <w:rPr>
                <w:i/>
                <w:sz w:val="20"/>
                <w:szCs w:val="20"/>
              </w:rPr>
            </w:pPr>
            <w:r>
              <w:rPr>
                <w:bCs/>
                <w:i/>
                <w:position w:val="-1"/>
                <w:sz w:val="20"/>
                <w:szCs w:val="20"/>
              </w:rPr>
              <w:t xml:space="preserve"> </w:t>
            </w:r>
            <w:r w:rsidRPr="00171605">
              <w:rPr>
                <w:bCs/>
                <w:i/>
                <w:position w:val="-1"/>
                <w:sz w:val="20"/>
                <w:szCs w:val="20"/>
              </w:rPr>
              <w:t>Hazardous substance</w:t>
            </w:r>
          </w:p>
        </w:tc>
      </w:tr>
      <w:tr w:rsidR="006E0DB6" w:rsidRPr="00171605" w14:paraId="1BEE2028" w14:textId="77777777" w:rsidTr="006E0DB6">
        <w:trPr>
          <w:jc w:val="center"/>
        </w:trPr>
        <w:tc>
          <w:tcPr>
            <w:tcW w:w="1389" w:type="dxa"/>
            <w:tcBorders>
              <w:top w:val="single" w:sz="4" w:space="0" w:color="auto"/>
            </w:tcBorders>
          </w:tcPr>
          <w:p w14:paraId="202E1C73" w14:textId="08ED22E5" w:rsidR="006E0DB6" w:rsidRPr="00171605" w:rsidRDefault="006E0DB6" w:rsidP="00661989">
            <w:pPr>
              <w:spacing w:before="60" w:after="60"/>
              <w:rPr>
                <w:rFonts w:eastAsia="Meiryo"/>
                <w:spacing w:val="1"/>
                <w:sz w:val="20"/>
                <w:szCs w:val="20"/>
              </w:rPr>
            </w:pPr>
            <w:r>
              <w:rPr>
                <w:rFonts w:eastAsia="Meiryo"/>
                <w:spacing w:val="1"/>
                <w:sz w:val="20"/>
                <w:szCs w:val="20"/>
              </w:rPr>
              <w:t xml:space="preserve"> </w:t>
            </w:r>
            <w:r w:rsidRPr="00171605">
              <w:rPr>
                <w:rFonts w:eastAsia="Meiryo"/>
                <w:spacing w:val="1"/>
                <w:sz w:val="20"/>
                <w:szCs w:val="20"/>
              </w:rPr>
              <w:t>1</w:t>
            </w:r>
          </w:p>
        </w:tc>
        <w:tc>
          <w:tcPr>
            <w:tcW w:w="2805" w:type="dxa"/>
            <w:tcBorders>
              <w:top w:val="single" w:sz="4" w:space="0" w:color="auto"/>
            </w:tcBorders>
          </w:tcPr>
          <w:p w14:paraId="24062CB7" w14:textId="2C061560" w:rsidR="006E0DB6" w:rsidRPr="00171605" w:rsidRDefault="006E0DB6" w:rsidP="00661989">
            <w:pPr>
              <w:widowControl w:val="0"/>
              <w:spacing w:before="60" w:after="60"/>
              <w:ind w:right="-70"/>
              <w:rPr>
                <w:rFonts w:eastAsia="Meiryo"/>
                <w:bCs/>
                <w:sz w:val="20"/>
                <w:szCs w:val="20"/>
              </w:rPr>
            </w:pPr>
            <w:r>
              <w:rPr>
                <w:sz w:val="20"/>
                <w:szCs w:val="20"/>
              </w:rPr>
              <w:t xml:space="preserve"> </w:t>
            </w:r>
            <w:r w:rsidRPr="00171605">
              <w:rPr>
                <w:sz w:val="20"/>
                <w:szCs w:val="20"/>
              </w:rPr>
              <w:t>Acr</w:t>
            </w:r>
            <w:r w:rsidRPr="00171605">
              <w:rPr>
                <w:spacing w:val="-1"/>
                <w:sz w:val="20"/>
                <w:szCs w:val="20"/>
              </w:rPr>
              <w:t>y</w:t>
            </w:r>
            <w:r w:rsidRPr="00171605">
              <w:rPr>
                <w:sz w:val="20"/>
                <w:szCs w:val="20"/>
              </w:rPr>
              <w:t>l</w:t>
            </w:r>
            <w:r w:rsidRPr="00171605">
              <w:rPr>
                <w:spacing w:val="-1"/>
                <w:sz w:val="20"/>
                <w:szCs w:val="20"/>
              </w:rPr>
              <w:t>o</w:t>
            </w:r>
            <w:r w:rsidRPr="00171605">
              <w:rPr>
                <w:sz w:val="20"/>
                <w:szCs w:val="20"/>
              </w:rPr>
              <w:t>nitrile</w:t>
            </w:r>
          </w:p>
        </w:tc>
      </w:tr>
      <w:tr w:rsidR="006E0DB6" w:rsidRPr="00171605" w14:paraId="274BBABE" w14:textId="77777777" w:rsidTr="006E0DB6">
        <w:trPr>
          <w:jc w:val="center"/>
        </w:trPr>
        <w:tc>
          <w:tcPr>
            <w:tcW w:w="1389" w:type="dxa"/>
          </w:tcPr>
          <w:p w14:paraId="19545070" w14:textId="0C604F16" w:rsidR="006E0DB6" w:rsidRPr="00171605" w:rsidRDefault="006E0DB6" w:rsidP="00661989">
            <w:pPr>
              <w:spacing w:before="60" w:after="60"/>
              <w:rPr>
                <w:rFonts w:eastAsia="Meiryo"/>
                <w:spacing w:val="1"/>
                <w:sz w:val="20"/>
                <w:szCs w:val="20"/>
              </w:rPr>
            </w:pPr>
            <w:r>
              <w:rPr>
                <w:rFonts w:eastAsia="Meiryo"/>
                <w:spacing w:val="1"/>
                <w:sz w:val="20"/>
                <w:szCs w:val="20"/>
              </w:rPr>
              <w:t xml:space="preserve"> </w:t>
            </w:r>
            <w:r w:rsidRPr="00171605">
              <w:rPr>
                <w:rFonts w:eastAsia="Meiryo"/>
                <w:spacing w:val="1"/>
                <w:sz w:val="20"/>
                <w:szCs w:val="20"/>
              </w:rPr>
              <w:t>2</w:t>
            </w:r>
          </w:p>
        </w:tc>
        <w:tc>
          <w:tcPr>
            <w:tcW w:w="2805" w:type="dxa"/>
          </w:tcPr>
          <w:p w14:paraId="529E8B1D" w14:textId="006EC717" w:rsidR="006E0DB6" w:rsidRPr="00171605" w:rsidRDefault="006E0DB6" w:rsidP="00661989">
            <w:pPr>
              <w:spacing w:before="60" w:after="60"/>
              <w:ind w:right="-70"/>
              <w:rPr>
                <w:rFonts w:eastAsia="Meiryo"/>
                <w:bCs/>
                <w:sz w:val="20"/>
                <w:szCs w:val="20"/>
              </w:rPr>
            </w:pPr>
            <w:r>
              <w:rPr>
                <w:rFonts w:eastAsia="Meiryo"/>
                <w:bCs/>
                <w:sz w:val="20"/>
                <w:szCs w:val="20"/>
              </w:rPr>
              <w:t xml:space="preserve"> </w:t>
            </w:r>
            <w:r w:rsidRPr="00171605">
              <w:rPr>
                <w:rFonts w:eastAsia="Meiryo"/>
                <w:bCs/>
                <w:sz w:val="20"/>
                <w:szCs w:val="20"/>
              </w:rPr>
              <w:t>Arsenic (inorganic)</w:t>
            </w:r>
          </w:p>
        </w:tc>
      </w:tr>
      <w:tr w:rsidR="006E0DB6" w:rsidRPr="00171605" w14:paraId="0B9DDBD3" w14:textId="77777777" w:rsidTr="006E0DB6">
        <w:trPr>
          <w:jc w:val="center"/>
        </w:trPr>
        <w:tc>
          <w:tcPr>
            <w:tcW w:w="1389" w:type="dxa"/>
          </w:tcPr>
          <w:p w14:paraId="1F47D162" w14:textId="65C6B2B1" w:rsidR="006E0DB6" w:rsidRPr="00171605" w:rsidRDefault="006E0DB6" w:rsidP="00661989">
            <w:pPr>
              <w:spacing w:before="60" w:after="60"/>
              <w:rPr>
                <w:rFonts w:eastAsia="Meiryo"/>
                <w:spacing w:val="1"/>
                <w:sz w:val="20"/>
                <w:szCs w:val="20"/>
              </w:rPr>
            </w:pPr>
            <w:r>
              <w:rPr>
                <w:rFonts w:eastAsia="Meiryo"/>
                <w:spacing w:val="1"/>
                <w:sz w:val="20"/>
                <w:szCs w:val="20"/>
              </w:rPr>
              <w:t xml:space="preserve"> </w:t>
            </w:r>
            <w:r w:rsidRPr="00171605">
              <w:rPr>
                <w:rFonts w:eastAsia="Meiryo"/>
                <w:spacing w:val="1"/>
                <w:sz w:val="20"/>
                <w:szCs w:val="20"/>
              </w:rPr>
              <w:t>3</w:t>
            </w:r>
          </w:p>
        </w:tc>
        <w:tc>
          <w:tcPr>
            <w:tcW w:w="2805" w:type="dxa"/>
          </w:tcPr>
          <w:p w14:paraId="21386595" w14:textId="34D86E36" w:rsidR="006E0DB6" w:rsidRPr="00171605" w:rsidRDefault="006E0DB6" w:rsidP="00661989">
            <w:pPr>
              <w:spacing w:before="60" w:after="60"/>
              <w:ind w:right="-70"/>
              <w:rPr>
                <w:rFonts w:eastAsia="Meiryo"/>
                <w:bCs/>
                <w:sz w:val="20"/>
                <w:szCs w:val="20"/>
              </w:rPr>
            </w:pPr>
            <w:r>
              <w:rPr>
                <w:rFonts w:eastAsia="Meiryo"/>
                <w:bCs/>
                <w:sz w:val="20"/>
                <w:szCs w:val="20"/>
              </w:rPr>
              <w:t xml:space="preserve"> </w:t>
            </w:r>
            <w:r w:rsidRPr="00171605">
              <w:rPr>
                <w:rFonts w:eastAsia="Meiryo"/>
                <w:bCs/>
                <w:sz w:val="20"/>
                <w:szCs w:val="20"/>
              </w:rPr>
              <w:t xml:space="preserve">Benzene </w:t>
            </w:r>
          </w:p>
        </w:tc>
      </w:tr>
      <w:tr w:rsidR="006E0DB6" w:rsidRPr="00171605" w14:paraId="42572DEE" w14:textId="77777777" w:rsidTr="006E0DB6">
        <w:trPr>
          <w:jc w:val="center"/>
        </w:trPr>
        <w:tc>
          <w:tcPr>
            <w:tcW w:w="1389" w:type="dxa"/>
          </w:tcPr>
          <w:p w14:paraId="4206E733" w14:textId="12C216E1" w:rsidR="006E0DB6" w:rsidRPr="00171605" w:rsidRDefault="006E0DB6" w:rsidP="00661989">
            <w:pPr>
              <w:spacing w:before="60" w:after="60"/>
              <w:rPr>
                <w:rFonts w:eastAsia="Meiryo"/>
                <w:spacing w:val="1"/>
                <w:sz w:val="20"/>
                <w:szCs w:val="20"/>
              </w:rPr>
            </w:pPr>
            <w:r>
              <w:rPr>
                <w:rFonts w:eastAsia="Meiryo"/>
                <w:spacing w:val="1"/>
                <w:sz w:val="20"/>
                <w:szCs w:val="20"/>
              </w:rPr>
              <w:t xml:space="preserve"> </w:t>
            </w:r>
            <w:r w:rsidRPr="00171605">
              <w:rPr>
                <w:rFonts w:eastAsia="Meiryo"/>
                <w:spacing w:val="1"/>
                <w:sz w:val="20"/>
                <w:szCs w:val="20"/>
              </w:rPr>
              <w:t>4</w:t>
            </w:r>
          </w:p>
        </w:tc>
        <w:tc>
          <w:tcPr>
            <w:tcW w:w="2805" w:type="dxa"/>
          </w:tcPr>
          <w:p w14:paraId="1DE05630" w14:textId="6E08D193" w:rsidR="006E0DB6" w:rsidRPr="00171605" w:rsidRDefault="006E0DB6" w:rsidP="00661989">
            <w:pPr>
              <w:widowControl w:val="0"/>
              <w:spacing w:before="60" w:after="60"/>
              <w:ind w:right="-70"/>
              <w:rPr>
                <w:rFonts w:eastAsia="Meiryo"/>
                <w:bCs/>
                <w:sz w:val="20"/>
                <w:szCs w:val="20"/>
              </w:rPr>
            </w:pPr>
            <w:r>
              <w:rPr>
                <w:rFonts w:eastAsia="Meiryo"/>
                <w:bCs/>
                <w:sz w:val="20"/>
                <w:szCs w:val="20"/>
              </w:rPr>
              <w:t xml:space="preserve"> </w:t>
            </w:r>
            <w:r w:rsidRPr="00171605">
              <w:rPr>
                <w:rFonts w:eastAsia="Meiryo"/>
                <w:bCs/>
                <w:sz w:val="20"/>
                <w:szCs w:val="20"/>
              </w:rPr>
              <w:t>Cadmium</w:t>
            </w:r>
          </w:p>
        </w:tc>
      </w:tr>
      <w:tr w:rsidR="006E0DB6" w:rsidRPr="00171605" w14:paraId="58D7C7FA" w14:textId="77777777" w:rsidTr="006E0DB6">
        <w:trPr>
          <w:jc w:val="center"/>
        </w:trPr>
        <w:tc>
          <w:tcPr>
            <w:tcW w:w="1389" w:type="dxa"/>
          </w:tcPr>
          <w:p w14:paraId="2589C9AC" w14:textId="3AF482C4" w:rsidR="006E0DB6" w:rsidRPr="00171605" w:rsidRDefault="006E0DB6" w:rsidP="00661989">
            <w:pPr>
              <w:spacing w:before="60" w:after="60"/>
              <w:rPr>
                <w:rFonts w:eastAsia="Meiryo"/>
                <w:spacing w:val="1"/>
                <w:sz w:val="20"/>
                <w:szCs w:val="20"/>
              </w:rPr>
            </w:pPr>
            <w:r>
              <w:rPr>
                <w:rFonts w:eastAsia="Meiryo"/>
                <w:spacing w:val="1"/>
                <w:sz w:val="20"/>
                <w:szCs w:val="20"/>
              </w:rPr>
              <w:t xml:space="preserve"> </w:t>
            </w:r>
            <w:r w:rsidRPr="00171605">
              <w:rPr>
                <w:rFonts w:eastAsia="Meiryo"/>
                <w:spacing w:val="1"/>
                <w:sz w:val="20"/>
                <w:szCs w:val="20"/>
              </w:rPr>
              <w:t>5</w:t>
            </w:r>
          </w:p>
        </w:tc>
        <w:tc>
          <w:tcPr>
            <w:tcW w:w="2805" w:type="dxa"/>
          </w:tcPr>
          <w:p w14:paraId="320A8687" w14:textId="635CF670" w:rsidR="006E0DB6" w:rsidRPr="00171605" w:rsidRDefault="006E0DB6" w:rsidP="00661989">
            <w:pPr>
              <w:spacing w:before="60" w:after="60"/>
              <w:rPr>
                <w:sz w:val="20"/>
                <w:szCs w:val="20"/>
                <w:lang w:val="en-US"/>
              </w:rPr>
            </w:pPr>
            <w:r>
              <w:rPr>
                <w:rFonts w:eastAsia="Meiryo"/>
                <w:sz w:val="20"/>
                <w:szCs w:val="20"/>
              </w:rPr>
              <w:t xml:space="preserve"> </w:t>
            </w:r>
            <w:r w:rsidRPr="00171605">
              <w:rPr>
                <w:rFonts w:eastAsia="Meiryo"/>
                <w:sz w:val="20"/>
                <w:szCs w:val="20"/>
              </w:rPr>
              <w:t>Chromium (inorganic)</w:t>
            </w:r>
          </w:p>
        </w:tc>
      </w:tr>
      <w:tr w:rsidR="006E0DB6" w:rsidRPr="00171605" w14:paraId="3B2FE7CE" w14:textId="77777777" w:rsidTr="006E0DB6">
        <w:trPr>
          <w:jc w:val="center"/>
        </w:trPr>
        <w:tc>
          <w:tcPr>
            <w:tcW w:w="1389" w:type="dxa"/>
          </w:tcPr>
          <w:p w14:paraId="691FA0FA" w14:textId="5149688D" w:rsidR="006E0DB6" w:rsidRPr="00171605" w:rsidRDefault="006E0DB6" w:rsidP="00661989">
            <w:pPr>
              <w:spacing w:before="60" w:after="60"/>
              <w:rPr>
                <w:rFonts w:eastAsia="Meiryo"/>
                <w:spacing w:val="1"/>
                <w:sz w:val="20"/>
                <w:szCs w:val="20"/>
              </w:rPr>
            </w:pPr>
            <w:r>
              <w:rPr>
                <w:rFonts w:eastAsia="Meiryo"/>
                <w:spacing w:val="1"/>
                <w:sz w:val="20"/>
                <w:szCs w:val="20"/>
              </w:rPr>
              <w:t xml:space="preserve"> </w:t>
            </w:r>
            <w:r w:rsidRPr="00171605">
              <w:rPr>
                <w:rFonts w:eastAsia="Meiryo"/>
                <w:spacing w:val="1"/>
                <w:sz w:val="20"/>
                <w:szCs w:val="20"/>
              </w:rPr>
              <w:t>6</w:t>
            </w:r>
          </w:p>
        </w:tc>
        <w:tc>
          <w:tcPr>
            <w:tcW w:w="2805" w:type="dxa"/>
          </w:tcPr>
          <w:p w14:paraId="7D6F8AE1" w14:textId="00671CDB" w:rsidR="006E0DB6" w:rsidRPr="00171605" w:rsidRDefault="006E0DB6" w:rsidP="00661989">
            <w:pPr>
              <w:spacing w:before="60" w:after="60"/>
              <w:rPr>
                <w:sz w:val="20"/>
                <w:szCs w:val="20"/>
                <w:lang w:val="en-US"/>
              </w:rPr>
            </w:pPr>
            <w:r>
              <w:rPr>
                <w:rFonts w:eastAsia="Meiryo"/>
                <w:sz w:val="20"/>
                <w:szCs w:val="20"/>
              </w:rPr>
              <w:t xml:space="preserve"> </w:t>
            </w:r>
            <w:r w:rsidRPr="00171605">
              <w:rPr>
                <w:rFonts w:eastAsia="Meiryo"/>
                <w:sz w:val="20"/>
                <w:szCs w:val="20"/>
              </w:rPr>
              <w:t>Creosote</w:t>
            </w:r>
          </w:p>
        </w:tc>
      </w:tr>
      <w:tr w:rsidR="006E0DB6" w:rsidRPr="00171605" w14:paraId="3029BAD2" w14:textId="77777777" w:rsidTr="006E0DB6">
        <w:trPr>
          <w:jc w:val="center"/>
        </w:trPr>
        <w:tc>
          <w:tcPr>
            <w:tcW w:w="1389" w:type="dxa"/>
          </w:tcPr>
          <w:p w14:paraId="37DC8C4C" w14:textId="083CD0C7" w:rsidR="006E0DB6" w:rsidRPr="00171605" w:rsidRDefault="006E0DB6" w:rsidP="00661989">
            <w:pPr>
              <w:spacing w:before="60" w:after="60"/>
              <w:rPr>
                <w:rFonts w:eastAsia="Meiryo"/>
                <w:spacing w:val="1"/>
                <w:sz w:val="20"/>
                <w:szCs w:val="20"/>
              </w:rPr>
            </w:pPr>
            <w:r>
              <w:rPr>
                <w:rFonts w:eastAsia="Meiryo"/>
                <w:spacing w:val="1"/>
                <w:sz w:val="20"/>
                <w:szCs w:val="20"/>
              </w:rPr>
              <w:t xml:space="preserve"> </w:t>
            </w:r>
            <w:r w:rsidRPr="00171605">
              <w:rPr>
                <w:rFonts w:eastAsia="Meiryo"/>
                <w:spacing w:val="1"/>
                <w:sz w:val="20"/>
                <w:szCs w:val="20"/>
              </w:rPr>
              <w:t>7</w:t>
            </w:r>
          </w:p>
        </w:tc>
        <w:tc>
          <w:tcPr>
            <w:tcW w:w="2805" w:type="dxa"/>
          </w:tcPr>
          <w:p w14:paraId="22FF1DDF" w14:textId="728D313F" w:rsidR="006E0DB6" w:rsidRPr="00171605" w:rsidRDefault="006E0DB6" w:rsidP="006E0DB6">
            <w:pPr>
              <w:spacing w:before="60" w:after="60"/>
              <w:rPr>
                <w:sz w:val="20"/>
                <w:szCs w:val="20"/>
                <w:lang w:val="en-US"/>
              </w:rPr>
            </w:pPr>
            <w:r>
              <w:rPr>
                <w:rFonts w:eastAsia="Meiryo"/>
                <w:sz w:val="20"/>
                <w:szCs w:val="20"/>
              </w:rPr>
              <w:t xml:space="preserve"> </w:t>
            </w:r>
            <w:r w:rsidRPr="00171605">
              <w:rPr>
                <w:rFonts w:eastAsia="Meiryo"/>
                <w:sz w:val="20"/>
                <w:szCs w:val="20"/>
              </w:rPr>
              <w:t>Crystalline silica</w:t>
            </w:r>
          </w:p>
        </w:tc>
      </w:tr>
      <w:tr w:rsidR="006E0DB6" w:rsidRPr="00171605" w14:paraId="0CC6FD5C" w14:textId="77777777" w:rsidTr="006E0DB6">
        <w:trPr>
          <w:jc w:val="center"/>
        </w:trPr>
        <w:tc>
          <w:tcPr>
            <w:tcW w:w="1389" w:type="dxa"/>
          </w:tcPr>
          <w:p w14:paraId="4BF0D6B7" w14:textId="202216D2" w:rsidR="006E0DB6" w:rsidRPr="00171605" w:rsidRDefault="006E0DB6" w:rsidP="00661989">
            <w:pPr>
              <w:spacing w:before="60" w:after="60"/>
              <w:rPr>
                <w:rFonts w:eastAsia="Meiryo"/>
                <w:spacing w:val="1"/>
                <w:sz w:val="20"/>
                <w:szCs w:val="20"/>
              </w:rPr>
            </w:pPr>
            <w:r>
              <w:rPr>
                <w:rFonts w:eastAsia="Meiryo"/>
                <w:spacing w:val="1"/>
                <w:sz w:val="20"/>
                <w:szCs w:val="20"/>
              </w:rPr>
              <w:t xml:space="preserve"> </w:t>
            </w:r>
            <w:r w:rsidRPr="00171605">
              <w:rPr>
                <w:rFonts w:eastAsia="Meiryo"/>
                <w:spacing w:val="1"/>
                <w:sz w:val="20"/>
                <w:szCs w:val="20"/>
              </w:rPr>
              <w:t>8</w:t>
            </w:r>
          </w:p>
        </w:tc>
        <w:tc>
          <w:tcPr>
            <w:tcW w:w="2805" w:type="dxa"/>
          </w:tcPr>
          <w:p w14:paraId="716A0ECF" w14:textId="2DA73E99" w:rsidR="006E0DB6" w:rsidRPr="00171605" w:rsidRDefault="006E0DB6" w:rsidP="00661989">
            <w:pPr>
              <w:spacing w:before="60" w:after="60"/>
              <w:rPr>
                <w:rFonts w:eastAsia="Meiryo"/>
                <w:sz w:val="20"/>
                <w:szCs w:val="20"/>
              </w:rPr>
            </w:pPr>
            <w:r>
              <w:rPr>
                <w:rFonts w:eastAsia="Meiryo"/>
                <w:sz w:val="20"/>
                <w:szCs w:val="20"/>
              </w:rPr>
              <w:t xml:space="preserve"> </w:t>
            </w:r>
            <w:r w:rsidRPr="00171605">
              <w:rPr>
                <w:rFonts w:eastAsia="Meiryo"/>
                <w:sz w:val="20"/>
                <w:szCs w:val="20"/>
              </w:rPr>
              <w:t>Isocyanates</w:t>
            </w:r>
          </w:p>
        </w:tc>
      </w:tr>
      <w:tr w:rsidR="006E0DB6" w:rsidRPr="00171605" w14:paraId="3F616F16" w14:textId="77777777" w:rsidTr="006E0DB6">
        <w:trPr>
          <w:jc w:val="center"/>
        </w:trPr>
        <w:tc>
          <w:tcPr>
            <w:tcW w:w="1389" w:type="dxa"/>
          </w:tcPr>
          <w:p w14:paraId="48F26419" w14:textId="56D2366D" w:rsidR="006E0DB6" w:rsidRPr="00171605" w:rsidRDefault="006E0DB6" w:rsidP="00661989">
            <w:pPr>
              <w:spacing w:before="60" w:after="60"/>
              <w:rPr>
                <w:rFonts w:eastAsia="Meiryo"/>
                <w:spacing w:val="1"/>
                <w:sz w:val="20"/>
                <w:szCs w:val="20"/>
              </w:rPr>
            </w:pPr>
            <w:r>
              <w:rPr>
                <w:rFonts w:eastAsia="Meiryo"/>
                <w:spacing w:val="1"/>
                <w:sz w:val="20"/>
                <w:szCs w:val="20"/>
              </w:rPr>
              <w:t xml:space="preserve"> </w:t>
            </w:r>
            <w:r w:rsidRPr="00171605">
              <w:rPr>
                <w:rFonts w:eastAsia="Meiryo"/>
                <w:spacing w:val="1"/>
                <w:sz w:val="20"/>
                <w:szCs w:val="20"/>
              </w:rPr>
              <w:t>9</w:t>
            </w:r>
          </w:p>
        </w:tc>
        <w:tc>
          <w:tcPr>
            <w:tcW w:w="2805" w:type="dxa"/>
          </w:tcPr>
          <w:p w14:paraId="15F6FD55" w14:textId="04193141" w:rsidR="006E0DB6" w:rsidRPr="00171605" w:rsidRDefault="006E0DB6" w:rsidP="00661989">
            <w:pPr>
              <w:spacing w:before="60" w:after="60"/>
              <w:rPr>
                <w:rFonts w:eastAsia="Meiryo"/>
                <w:sz w:val="20"/>
                <w:szCs w:val="20"/>
              </w:rPr>
            </w:pPr>
            <w:r>
              <w:rPr>
                <w:sz w:val="20"/>
                <w:szCs w:val="20"/>
              </w:rPr>
              <w:t xml:space="preserve"> </w:t>
            </w:r>
            <w:r w:rsidRPr="00171605">
              <w:rPr>
                <w:sz w:val="20"/>
                <w:szCs w:val="20"/>
              </w:rPr>
              <w:t>Mercury (inorga</w:t>
            </w:r>
            <w:r w:rsidRPr="00171605">
              <w:rPr>
                <w:spacing w:val="1"/>
                <w:sz w:val="20"/>
                <w:szCs w:val="20"/>
              </w:rPr>
              <w:t>n</w:t>
            </w:r>
            <w:r w:rsidRPr="00171605">
              <w:rPr>
                <w:sz w:val="20"/>
                <w:szCs w:val="20"/>
              </w:rPr>
              <w:t>ic)</w:t>
            </w:r>
          </w:p>
        </w:tc>
      </w:tr>
      <w:tr w:rsidR="006E0DB6" w:rsidRPr="00171605" w14:paraId="4756ED2E" w14:textId="77777777" w:rsidTr="006E0DB6">
        <w:trPr>
          <w:jc w:val="center"/>
        </w:trPr>
        <w:tc>
          <w:tcPr>
            <w:tcW w:w="1389" w:type="dxa"/>
          </w:tcPr>
          <w:p w14:paraId="17EF643B" w14:textId="77777777" w:rsidR="006E0DB6" w:rsidRPr="00171605" w:rsidRDefault="006E0DB6" w:rsidP="00661989">
            <w:pPr>
              <w:spacing w:before="60" w:after="60"/>
              <w:rPr>
                <w:rFonts w:eastAsia="Meiryo"/>
                <w:spacing w:val="1"/>
                <w:sz w:val="20"/>
                <w:szCs w:val="20"/>
              </w:rPr>
            </w:pPr>
            <w:r w:rsidRPr="00171605">
              <w:rPr>
                <w:rFonts w:eastAsia="Meiryo"/>
                <w:spacing w:val="1"/>
                <w:sz w:val="20"/>
                <w:szCs w:val="20"/>
              </w:rPr>
              <w:t>10</w:t>
            </w:r>
          </w:p>
        </w:tc>
        <w:tc>
          <w:tcPr>
            <w:tcW w:w="2805" w:type="dxa"/>
          </w:tcPr>
          <w:p w14:paraId="55E4D89D" w14:textId="24038BC9" w:rsidR="006E0DB6" w:rsidRPr="00171605" w:rsidRDefault="006E0DB6" w:rsidP="00661989">
            <w:pPr>
              <w:spacing w:before="60" w:after="60"/>
              <w:rPr>
                <w:rFonts w:eastAsia="Meiryo"/>
                <w:i/>
                <w:sz w:val="20"/>
                <w:szCs w:val="20"/>
              </w:rPr>
            </w:pPr>
            <w:r>
              <w:rPr>
                <w:rFonts w:eastAsia="Meiryo"/>
                <w:sz w:val="20"/>
                <w:szCs w:val="20"/>
              </w:rPr>
              <w:t xml:space="preserve"> </w:t>
            </w:r>
            <w:r w:rsidRPr="00171605">
              <w:rPr>
                <w:rFonts w:eastAsia="Meiryo"/>
                <w:sz w:val="20"/>
                <w:szCs w:val="20"/>
              </w:rPr>
              <w:t xml:space="preserve">4,4'-Methylene bis </w:t>
            </w:r>
            <w:r>
              <w:rPr>
                <w:rFonts w:eastAsia="Meiryo"/>
                <w:sz w:val="20"/>
                <w:szCs w:val="20"/>
              </w:rPr>
              <w:br/>
              <w:t xml:space="preserve"> </w:t>
            </w:r>
            <w:r w:rsidRPr="00171605">
              <w:rPr>
                <w:rFonts w:eastAsia="Meiryo"/>
                <w:sz w:val="20"/>
                <w:szCs w:val="20"/>
              </w:rPr>
              <w:t>(2-chloroaniline) (MOCA)</w:t>
            </w:r>
          </w:p>
        </w:tc>
      </w:tr>
      <w:tr w:rsidR="006E0DB6" w:rsidRPr="00171605" w14:paraId="52B75EED" w14:textId="77777777" w:rsidTr="006E0DB6">
        <w:trPr>
          <w:jc w:val="center"/>
        </w:trPr>
        <w:tc>
          <w:tcPr>
            <w:tcW w:w="1389" w:type="dxa"/>
          </w:tcPr>
          <w:p w14:paraId="6CD5D7FF" w14:textId="77777777" w:rsidR="006E0DB6" w:rsidRPr="00171605" w:rsidRDefault="006E0DB6" w:rsidP="00661989">
            <w:pPr>
              <w:spacing w:before="60" w:after="60"/>
              <w:rPr>
                <w:rFonts w:eastAsia="Meiryo"/>
                <w:spacing w:val="1"/>
                <w:sz w:val="20"/>
                <w:szCs w:val="20"/>
              </w:rPr>
            </w:pPr>
            <w:r w:rsidRPr="00171605">
              <w:rPr>
                <w:rFonts w:eastAsia="Meiryo"/>
                <w:spacing w:val="1"/>
                <w:sz w:val="20"/>
                <w:szCs w:val="20"/>
              </w:rPr>
              <w:t>11</w:t>
            </w:r>
          </w:p>
        </w:tc>
        <w:tc>
          <w:tcPr>
            <w:tcW w:w="2805" w:type="dxa"/>
          </w:tcPr>
          <w:p w14:paraId="62CC4D1E" w14:textId="37165278" w:rsidR="006E0DB6" w:rsidRPr="00171605" w:rsidRDefault="006E0DB6" w:rsidP="00661989">
            <w:pPr>
              <w:widowControl w:val="0"/>
              <w:spacing w:before="60" w:after="60"/>
              <w:ind w:right="-20"/>
              <w:rPr>
                <w:rFonts w:eastAsia="Meiryo"/>
                <w:sz w:val="20"/>
                <w:szCs w:val="20"/>
              </w:rPr>
            </w:pPr>
            <w:r>
              <w:rPr>
                <w:spacing w:val="1"/>
                <w:sz w:val="20"/>
                <w:szCs w:val="20"/>
              </w:rPr>
              <w:t xml:space="preserve"> </w:t>
            </w:r>
            <w:r w:rsidRPr="00171605">
              <w:rPr>
                <w:spacing w:val="1"/>
                <w:sz w:val="20"/>
                <w:szCs w:val="20"/>
              </w:rPr>
              <w:t>O</w:t>
            </w:r>
            <w:r w:rsidRPr="00171605">
              <w:rPr>
                <w:spacing w:val="-1"/>
                <w:sz w:val="20"/>
                <w:szCs w:val="20"/>
              </w:rPr>
              <w:t>r</w:t>
            </w:r>
            <w:r w:rsidRPr="00171605">
              <w:rPr>
                <w:spacing w:val="1"/>
                <w:sz w:val="20"/>
                <w:szCs w:val="20"/>
              </w:rPr>
              <w:t>g</w:t>
            </w:r>
            <w:r w:rsidRPr="00171605">
              <w:rPr>
                <w:spacing w:val="-1"/>
                <w:sz w:val="20"/>
                <w:szCs w:val="20"/>
              </w:rPr>
              <w:t>a</w:t>
            </w:r>
            <w:r w:rsidRPr="00171605">
              <w:rPr>
                <w:spacing w:val="1"/>
                <w:sz w:val="20"/>
                <w:szCs w:val="20"/>
              </w:rPr>
              <w:t>n</w:t>
            </w:r>
            <w:r w:rsidRPr="00171605">
              <w:rPr>
                <w:spacing w:val="-1"/>
                <w:sz w:val="20"/>
                <w:szCs w:val="20"/>
              </w:rPr>
              <w:t>op</w:t>
            </w:r>
            <w:r w:rsidRPr="00171605">
              <w:rPr>
                <w:spacing w:val="1"/>
                <w:sz w:val="20"/>
                <w:szCs w:val="20"/>
              </w:rPr>
              <w:t>ho</w:t>
            </w:r>
            <w:r w:rsidRPr="00171605">
              <w:rPr>
                <w:spacing w:val="-1"/>
                <w:sz w:val="20"/>
                <w:szCs w:val="20"/>
              </w:rPr>
              <w:t>sph</w:t>
            </w:r>
            <w:r w:rsidRPr="00171605">
              <w:rPr>
                <w:sz w:val="20"/>
                <w:szCs w:val="20"/>
              </w:rPr>
              <w:t xml:space="preserve">ate </w:t>
            </w:r>
            <w:r w:rsidRPr="00171605">
              <w:rPr>
                <w:spacing w:val="1"/>
                <w:sz w:val="20"/>
                <w:szCs w:val="20"/>
              </w:rPr>
              <w:t>p</w:t>
            </w:r>
            <w:r w:rsidRPr="00171605">
              <w:rPr>
                <w:sz w:val="20"/>
                <w:szCs w:val="20"/>
              </w:rPr>
              <w:t>estici</w:t>
            </w:r>
            <w:r w:rsidRPr="00171605">
              <w:rPr>
                <w:spacing w:val="1"/>
                <w:sz w:val="20"/>
                <w:szCs w:val="20"/>
              </w:rPr>
              <w:t>d</w:t>
            </w:r>
            <w:r w:rsidRPr="00171605">
              <w:rPr>
                <w:sz w:val="20"/>
                <w:szCs w:val="20"/>
              </w:rPr>
              <w:t>es</w:t>
            </w:r>
          </w:p>
        </w:tc>
      </w:tr>
      <w:tr w:rsidR="006E0DB6" w:rsidRPr="00171605" w14:paraId="2ADB9FFB" w14:textId="77777777" w:rsidTr="006E0DB6">
        <w:trPr>
          <w:jc w:val="center"/>
        </w:trPr>
        <w:tc>
          <w:tcPr>
            <w:tcW w:w="1389" w:type="dxa"/>
          </w:tcPr>
          <w:p w14:paraId="5FC17A92" w14:textId="77777777" w:rsidR="006E0DB6" w:rsidRPr="00171605" w:rsidRDefault="006E0DB6" w:rsidP="00661989">
            <w:pPr>
              <w:spacing w:before="60" w:after="60"/>
              <w:rPr>
                <w:rFonts w:eastAsia="Meiryo"/>
                <w:spacing w:val="1"/>
                <w:sz w:val="20"/>
                <w:szCs w:val="20"/>
              </w:rPr>
            </w:pPr>
            <w:r w:rsidRPr="00171605">
              <w:rPr>
                <w:rFonts w:eastAsia="Meiryo"/>
                <w:spacing w:val="1"/>
                <w:sz w:val="20"/>
                <w:szCs w:val="20"/>
              </w:rPr>
              <w:t>12</w:t>
            </w:r>
          </w:p>
        </w:tc>
        <w:tc>
          <w:tcPr>
            <w:tcW w:w="2805" w:type="dxa"/>
          </w:tcPr>
          <w:p w14:paraId="1C881007" w14:textId="6E66A520" w:rsidR="006E0DB6" w:rsidRPr="00171605" w:rsidRDefault="006E0DB6" w:rsidP="00661989">
            <w:pPr>
              <w:spacing w:before="60" w:after="60"/>
              <w:rPr>
                <w:rFonts w:eastAsia="Meiryo"/>
                <w:sz w:val="20"/>
                <w:szCs w:val="20"/>
              </w:rPr>
            </w:pPr>
            <w:r>
              <w:rPr>
                <w:rFonts w:eastAsia="Meiryo"/>
                <w:sz w:val="20"/>
                <w:szCs w:val="20"/>
              </w:rPr>
              <w:t xml:space="preserve"> </w:t>
            </w:r>
            <w:r w:rsidRPr="00171605">
              <w:rPr>
                <w:rFonts w:eastAsia="Meiryo"/>
                <w:sz w:val="20"/>
                <w:szCs w:val="20"/>
              </w:rPr>
              <w:t>Pentachlorophenol (PCP)</w:t>
            </w:r>
          </w:p>
        </w:tc>
      </w:tr>
      <w:tr w:rsidR="006E0DB6" w:rsidRPr="00171605" w14:paraId="6398AEE3" w14:textId="77777777" w:rsidTr="006E0DB6">
        <w:trPr>
          <w:jc w:val="center"/>
        </w:trPr>
        <w:tc>
          <w:tcPr>
            <w:tcW w:w="1389" w:type="dxa"/>
          </w:tcPr>
          <w:p w14:paraId="469525F1" w14:textId="77777777" w:rsidR="006E0DB6" w:rsidRPr="00171605" w:rsidRDefault="006E0DB6" w:rsidP="00661989">
            <w:pPr>
              <w:spacing w:before="60" w:after="60"/>
              <w:rPr>
                <w:rFonts w:eastAsia="Meiryo"/>
                <w:spacing w:val="1"/>
                <w:sz w:val="20"/>
                <w:szCs w:val="20"/>
              </w:rPr>
            </w:pPr>
            <w:r w:rsidRPr="00171605">
              <w:rPr>
                <w:rFonts w:eastAsia="Meiryo"/>
                <w:spacing w:val="1"/>
                <w:sz w:val="20"/>
                <w:szCs w:val="20"/>
              </w:rPr>
              <w:t>13</w:t>
            </w:r>
          </w:p>
        </w:tc>
        <w:tc>
          <w:tcPr>
            <w:tcW w:w="2805" w:type="dxa"/>
          </w:tcPr>
          <w:p w14:paraId="10E5EBDB" w14:textId="77777777" w:rsidR="006E0DB6" w:rsidRDefault="006E0DB6" w:rsidP="006E0DB6">
            <w:pPr>
              <w:spacing w:before="60" w:after="60"/>
              <w:rPr>
                <w:sz w:val="20"/>
                <w:szCs w:val="20"/>
              </w:rPr>
            </w:pPr>
            <w:r>
              <w:rPr>
                <w:sz w:val="20"/>
                <w:szCs w:val="20"/>
              </w:rPr>
              <w:t xml:space="preserve"> </w:t>
            </w:r>
            <w:r w:rsidRPr="00171605">
              <w:rPr>
                <w:sz w:val="20"/>
                <w:szCs w:val="20"/>
              </w:rPr>
              <w:t>P</w:t>
            </w:r>
            <w:r w:rsidRPr="00171605">
              <w:rPr>
                <w:spacing w:val="1"/>
                <w:sz w:val="20"/>
                <w:szCs w:val="20"/>
              </w:rPr>
              <w:t>o</w:t>
            </w:r>
            <w:r w:rsidRPr="00171605">
              <w:rPr>
                <w:sz w:val="20"/>
                <w:szCs w:val="20"/>
              </w:rPr>
              <w:t xml:space="preserve">lycyclic </w:t>
            </w:r>
            <w:r>
              <w:rPr>
                <w:sz w:val="20"/>
                <w:szCs w:val="20"/>
              </w:rPr>
              <w:t xml:space="preserve">   </w:t>
            </w:r>
            <w:r w:rsidRPr="00171605">
              <w:rPr>
                <w:sz w:val="20"/>
                <w:szCs w:val="20"/>
              </w:rPr>
              <w:t xml:space="preserve">aromatic </w:t>
            </w:r>
          </w:p>
          <w:p w14:paraId="62DD6C82" w14:textId="7E2C5CA8" w:rsidR="006E0DB6" w:rsidRPr="00171605" w:rsidRDefault="006E0DB6" w:rsidP="006E0DB6">
            <w:pPr>
              <w:spacing w:before="60" w:after="60"/>
              <w:rPr>
                <w:rFonts w:eastAsia="Meiryo"/>
                <w:sz w:val="20"/>
                <w:szCs w:val="20"/>
              </w:rPr>
            </w:pPr>
            <w:r>
              <w:rPr>
                <w:sz w:val="20"/>
                <w:szCs w:val="20"/>
              </w:rPr>
              <w:t xml:space="preserve"> </w:t>
            </w:r>
            <w:r w:rsidRPr="00171605">
              <w:rPr>
                <w:spacing w:val="1"/>
                <w:sz w:val="20"/>
                <w:szCs w:val="20"/>
              </w:rPr>
              <w:t>h</w:t>
            </w:r>
            <w:r w:rsidRPr="00171605">
              <w:rPr>
                <w:spacing w:val="-1"/>
                <w:sz w:val="20"/>
                <w:szCs w:val="20"/>
              </w:rPr>
              <w:t>yd</w:t>
            </w:r>
            <w:r w:rsidRPr="00171605">
              <w:rPr>
                <w:sz w:val="20"/>
                <w:szCs w:val="20"/>
              </w:rPr>
              <w:t>r</w:t>
            </w:r>
            <w:r w:rsidRPr="00171605">
              <w:rPr>
                <w:spacing w:val="1"/>
                <w:sz w:val="20"/>
                <w:szCs w:val="20"/>
              </w:rPr>
              <w:t>o</w:t>
            </w:r>
            <w:r w:rsidRPr="00171605">
              <w:rPr>
                <w:sz w:val="20"/>
                <w:szCs w:val="20"/>
              </w:rPr>
              <w:t>c</w:t>
            </w:r>
            <w:r w:rsidRPr="00171605">
              <w:rPr>
                <w:spacing w:val="-1"/>
                <w:sz w:val="20"/>
                <w:szCs w:val="20"/>
              </w:rPr>
              <w:t>a</w:t>
            </w:r>
            <w:r w:rsidRPr="00171605">
              <w:rPr>
                <w:sz w:val="20"/>
                <w:szCs w:val="20"/>
              </w:rPr>
              <w:t>r</w:t>
            </w:r>
            <w:r w:rsidRPr="00171605">
              <w:rPr>
                <w:spacing w:val="-1"/>
                <w:sz w:val="20"/>
                <w:szCs w:val="20"/>
              </w:rPr>
              <w:t>bo</w:t>
            </w:r>
            <w:r w:rsidRPr="00171605">
              <w:rPr>
                <w:spacing w:val="1"/>
                <w:sz w:val="20"/>
                <w:szCs w:val="20"/>
              </w:rPr>
              <w:t>n</w:t>
            </w:r>
            <w:r w:rsidRPr="00171605">
              <w:rPr>
                <w:sz w:val="20"/>
                <w:szCs w:val="20"/>
              </w:rPr>
              <w:t>s</w:t>
            </w:r>
            <w:r w:rsidRPr="00171605">
              <w:rPr>
                <w:spacing w:val="-1"/>
                <w:sz w:val="20"/>
                <w:szCs w:val="20"/>
              </w:rPr>
              <w:t xml:space="preserve"> (PA</w:t>
            </w:r>
            <w:r w:rsidRPr="00171605">
              <w:rPr>
                <w:sz w:val="20"/>
                <w:szCs w:val="20"/>
              </w:rPr>
              <w:t>H)</w:t>
            </w:r>
          </w:p>
        </w:tc>
      </w:tr>
      <w:tr w:rsidR="006E0DB6" w:rsidRPr="00171605" w14:paraId="772509B5" w14:textId="77777777" w:rsidTr="006E0DB6">
        <w:trPr>
          <w:jc w:val="center"/>
        </w:trPr>
        <w:tc>
          <w:tcPr>
            <w:tcW w:w="1389" w:type="dxa"/>
          </w:tcPr>
          <w:p w14:paraId="737A1760" w14:textId="77777777" w:rsidR="006E0DB6" w:rsidRPr="00171605" w:rsidRDefault="006E0DB6" w:rsidP="00661989">
            <w:pPr>
              <w:spacing w:before="60" w:after="60"/>
              <w:rPr>
                <w:rFonts w:eastAsia="Meiryo"/>
                <w:spacing w:val="1"/>
                <w:sz w:val="20"/>
                <w:szCs w:val="20"/>
              </w:rPr>
            </w:pPr>
            <w:r w:rsidRPr="00171605">
              <w:rPr>
                <w:rFonts w:eastAsia="Meiryo"/>
                <w:spacing w:val="1"/>
                <w:sz w:val="20"/>
                <w:szCs w:val="20"/>
              </w:rPr>
              <w:t>14</w:t>
            </w:r>
          </w:p>
        </w:tc>
        <w:tc>
          <w:tcPr>
            <w:tcW w:w="2805" w:type="dxa"/>
          </w:tcPr>
          <w:p w14:paraId="2DDFA0B5" w14:textId="39EE18EC" w:rsidR="006E0DB6" w:rsidRPr="00171605" w:rsidRDefault="006E0DB6" w:rsidP="00661989">
            <w:pPr>
              <w:spacing w:before="60" w:after="60"/>
              <w:rPr>
                <w:sz w:val="20"/>
                <w:szCs w:val="20"/>
              </w:rPr>
            </w:pPr>
            <w:r>
              <w:rPr>
                <w:sz w:val="20"/>
                <w:szCs w:val="20"/>
              </w:rPr>
              <w:t xml:space="preserve"> </w:t>
            </w:r>
            <w:r w:rsidRPr="00171605">
              <w:rPr>
                <w:sz w:val="20"/>
                <w:szCs w:val="20"/>
              </w:rPr>
              <w:t>T</w:t>
            </w:r>
            <w:r w:rsidRPr="00171605">
              <w:rPr>
                <w:spacing w:val="1"/>
                <w:sz w:val="20"/>
                <w:szCs w:val="20"/>
              </w:rPr>
              <w:t>h</w:t>
            </w:r>
            <w:r w:rsidRPr="00171605">
              <w:rPr>
                <w:sz w:val="20"/>
                <w:szCs w:val="20"/>
              </w:rPr>
              <w:t>alli</w:t>
            </w:r>
            <w:r w:rsidRPr="00171605">
              <w:rPr>
                <w:spacing w:val="1"/>
                <w:sz w:val="20"/>
                <w:szCs w:val="20"/>
              </w:rPr>
              <w:t>u</w:t>
            </w:r>
            <w:r w:rsidRPr="00171605">
              <w:rPr>
                <w:sz w:val="20"/>
                <w:szCs w:val="20"/>
              </w:rPr>
              <w:t>m</w:t>
            </w:r>
          </w:p>
        </w:tc>
      </w:tr>
      <w:tr w:rsidR="006E0DB6" w:rsidRPr="00171605" w14:paraId="2300D053" w14:textId="77777777" w:rsidTr="006E0DB6">
        <w:trPr>
          <w:jc w:val="center"/>
        </w:trPr>
        <w:tc>
          <w:tcPr>
            <w:tcW w:w="1389" w:type="dxa"/>
            <w:tcBorders>
              <w:bottom w:val="single" w:sz="4" w:space="0" w:color="auto"/>
            </w:tcBorders>
          </w:tcPr>
          <w:p w14:paraId="62F2494E" w14:textId="77777777" w:rsidR="006E0DB6" w:rsidRPr="00171605" w:rsidRDefault="006E0DB6" w:rsidP="00661989">
            <w:pPr>
              <w:spacing w:before="60" w:after="60"/>
              <w:rPr>
                <w:rFonts w:eastAsia="Meiryo"/>
                <w:spacing w:val="1"/>
                <w:sz w:val="20"/>
                <w:szCs w:val="20"/>
              </w:rPr>
            </w:pPr>
            <w:r w:rsidRPr="00171605">
              <w:rPr>
                <w:rFonts w:eastAsia="Meiryo"/>
                <w:spacing w:val="1"/>
                <w:sz w:val="20"/>
                <w:szCs w:val="20"/>
              </w:rPr>
              <w:t>15</w:t>
            </w:r>
          </w:p>
        </w:tc>
        <w:tc>
          <w:tcPr>
            <w:tcW w:w="2805" w:type="dxa"/>
            <w:tcBorders>
              <w:bottom w:val="single" w:sz="4" w:space="0" w:color="auto"/>
            </w:tcBorders>
          </w:tcPr>
          <w:p w14:paraId="03F32C8D" w14:textId="7E3EE887" w:rsidR="006E0DB6" w:rsidRPr="00171605" w:rsidRDefault="006E0DB6" w:rsidP="00661989">
            <w:pPr>
              <w:spacing w:before="60" w:after="60"/>
              <w:rPr>
                <w:sz w:val="20"/>
                <w:szCs w:val="20"/>
              </w:rPr>
            </w:pPr>
            <w:r>
              <w:rPr>
                <w:sz w:val="20"/>
                <w:szCs w:val="20"/>
              </w:rPr>
              <w:t xml:space="preserve"> </w:t>
            </w:r>
            <w:r w:rsidRPr="00171605">
              <w:rPr>
                <w:sz w:val="20"/>
                <w:szCs w:val="20"/>
              </w:rPr>
              <w:t>Vinyl chloride</w:t>
            </w:r>
          </w:p>
        </w:tc>
      </w:tr>
    </w:tbl>
    <w:p w14:paraId="7144D558" w14:textId="77777777" w:rsidR="006E0DB6" w:rsidRDefault="006E0DB6" w:rsidP="006E0DB6">
      <w:pPr>
        <w:pStyle w:val="Normal-Schedule"/>
        <w:spacing w:before="240" w:after="120"/>
        <w:jc w:val="center"/>
        <w:rPr>
          <w:b/>
        </w:rPr>
      </w:pPr>
      <w:r>
        <w:rPr>
          <w:b/>
        </w:rPr>
        <w:br/>
        <w:t>Table 2—</w:t>
      </w:r>
      <w:r w:rsidRPr="008B526B">
        <w:rPr>
          <w:b/>
        </w:rPr>
        <w:t>Lead requiring health monitoring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2521"/>
      </w:tblGrid>
      <w:tr w:rsidR="006E0DB6" w:rsidRPr="00171605" w14:paraId="585962B7" w14:textId="77777777" w:rsidTr="00661989">
        <w:trPr>
          <w:jc w:val="center"/>
        </w:trPr>
        <w:tc>
          <w:tcPr>
            <w:tcW w:w="1673" w:type="dxa"/>
            <w:tcBorders>
              <w:top w:val="single" w:sz="4" w:space="0" w:color="auto"/>
              <w:bottom w:val="single" w:sz="4" w:space="0" w:color="auto"/>
            </w:tcBorders>
          </w:tcPr>
          <w:p w14:paraId="78B97EF6" w14:textId="597EE005" w:rsidR="006E0DB6" w:rsidRPr="00171605" w:rsidRDefault="006E0DB6" w:rsidP="00661989">
            <w:pPr>
              <w:widowControl w:val="0"/>
              <w:spacing w:before="60" w:after="60"/>
              <w:ind w:right="-70"/>
              <w:rPr>
                <w:rFonts w:eastAsia="Meiryo"/>
                <w:i/>
                <w:sz w:val="20"/>
                <w:szCs w:val="20"/>
              </w:rPr>
            </w:pPr>
            <w:r>
              <w:rPr>
                <w:rFonts w:eastAsia="Meiryo"/>
                <w:bCs/>
                <w:i/>
                <w:sz w:val="20"/>
                <w:szCs w:val="20"/>
              </w:rPr>
              <w:t xml:space="preserve"> </w:t>
            </w:r>
            <w:r w:rsidRPr="00171605">
              <w:rPr>
                <w:rFonts w:eastAsia="Meiryo"/>
                <w:bCs/>
                <w:i/>
                <w:sz w:val="20"/>
                <w:szCs w:val="20"/>
              </w:rPr>
              <w:t>Colu</w:t>
            </w:r>
            <w:r w:rsidRPr="00171605">
              <w:rPr>
                <w:rFonts w:eastAsia="Meiryo"/>
                <w:bCs/>
                <w:i/>
                <w:spacing w:val="-1"/>
                <w:sz w:val="20"/>
                <w:szCs w:val="20"/>
              </w:rPr>
              <w:t>m</w:t>
            </w:r>
            <w:r w:rsidRPr="00171605">
              <w:rPr>
                <w:rFonts w:eastAsia="Meiryo"/>
                <w:bCs/>
                <w:i/>
                <w:sz w:val="20"/>
                <w:szCs w:val="20"/>
              </w:rPr>
              <w:t>n</w:t>
            </w:r>
            <w:r w:rsidRPr="00171605">
              <w:rPr>
                <w:rFonts w:eastAsia="Meiryo"/>
                <w:bCs/>
                <w:i/>
                <w:spacing w:val="-1"/>
                <w:sz w:val="20"/>
                <w:szCs w:val="20"/>
              </w:rPr>
              <w:t xml:space="preserve"> </w:t>
            </w:r>
            <w:r w:rsidRPr="00171605">
              <w:rPr>
                <w:rFonts w:eastAsia="Meiryo"/>
                <w:bCs/>
                <w:i/>
                <w:sz w:val="20"/>
                <w:szCs w:val="20"/>
              </w:rPr>
              <w:t>1</w:t>
            </w:r>
          </w:p>
          <w:p w14:paraId="7F489614" w14:textId="7364F349" w:rsidR="006E0DB6" w:rsidRPr="00171605" w:rsidRDefault="006E0DB6" w:rsidP="00661989">
            <w:pPr>
              <w:spacing w:before="60" w:after="60"/>
              <w:rPr>
                <w:i/>
                <w:sz w:val="20"/>
                <w:szCs w:val="20"/>
                <w:lang w:val="en-US"/>
              </w:rPr>
            </w:pPr>
            <w:r>
              <w:rPr>
                <w:rFonts w:eastAsia="Meiryo"/>
                <w:bCs/>
                <w:i/>
                <w:position w:val="-1"/>
                <w:sz w:val="20"/>
                <w:szCs w:val="20"/>
              </w:rPr>
              <w:t xml:space="preserve"> </w:t>
            </w:r>
            <w:r w:rsidRPr="00171605">
              <w:rPr>
                <w:rFonts w:eastAsia="Meiryo"/>
                <w:bCs/>
                <w:i/>
                <w:position w:val="-1"/>
                <w:sz w:val="20"/>
                <w:szCs w:val="20"/>
              </w:rPr>
              <w:t>Item</w:t>
            </w:r>
          </w:p>
        </w:tc>
        <w:tc>
          <w:tcPr>
            <w:tcW w:w="2521" w:type="dxa"/>
            <w:tcBorders>
              <w:top w:val="single" w:sz="4" w:space="0" w:color="auto"/>
              <w:bottom w:val="single" w:sz="4" w:space="0" w:color="auto"/>
            </w:tcBorders>
          </w:tcPr>
          <w:p w14:paraId="1EB28111" w14:textId="02D61EB3" w:rsidR="006E0DB6" w:rsidRPr="00171605" w:rsidRDefault="006E0DB6" w:rsidP="00661989">
            <w:pPr>
              <w:widowControl w:val="0"/>
              <w:spacing w:before="60" w:after="60" w:line="230" w:lineRule="exact"/>
              <w:ind w:right="-54"/>
              <w:rPr>
                <w:i/>
                <w:sz w:val="20"/>
                <w:szCs w:val="20"/>
              </w:rPr>
            </w:pPr>
            <w:r>
              <w:rPr>
                <w:bCs/>
                <w:i/>
                <w:sz w:val="20"/>
                <w:szCs w:val="20"/>
              </w:rPr>
              <w:t xml:space="preserve"> </w:t>
            </w:r>
            <w:r w:rsidRPr="00171605">
              <w:rPr>
                <w:bCs/>
                <w:i/>
                <w:sz w:val="20"/>
                <w:szCs w:val="20"/>
              </w:rPr>
              <w:t>Colu</w:t>
            </w:r>
            <w:r w:rsidRPr="00171605">
              <w:rPr>
                <w:bCs/>
                <w:i/>
                <w:spacing w:val="-1"/>
                <w:sz w:val="20"/>
                <w:szCs w:val="20"/>
              </w:rPr>
              <w:t>m</w:t>
            </w:r>
            <w:r w:rsidRPr="00171605">
              <w:rPr>
                <w:bCs/>
                <w:i/>
                <w:sz w:val="20"/>
                <w:szCs w:val="20"/>
              </w:rPr>
              <w:t>n</w:t>
            </w:r>
            <w:r w:rsidRPr="00171605">
              <w:rPr>
                <w:bCs/>
                <w:i/>
                <w:spacing w:val="-1"/>
                <w:sz w:val="20"/>
                <w:szCs w:val="20"/>
              </w:rPr>
              <w:t xml:space="preserve"> </w:t>
            </w:r>
            <w:r w:rsidRPr="00171605">
              <w:rPr>
                <w:bCs/>
                <w:i/>
                <w:sz w:val="20"/>
                <w:szCs w:val="20"/>
              </w:rPr>
              <w:t>2</w:t>
            </w:r>
          </w:p>
          <w:p w14:paraId="410E3022" w14:textId="6B647125" w:rsidR="006E0DB6" w:rsidRPr="00171605" w:rsidRDefault="006E0DB6" w:rsidP="00661989">
            <w:pPr>
              <w:widowControl w:val="0"/>
              <w:spacing w:before="60" w:after="60" w:line="230" w:lineRule="exact"/>
              <w:ind w:right="-54"/>
              <w:rPr>
                <w:i/>
                <w:sz w:val="20"/>
                <w:szCs w:val="20"/>
              </w:rPr>
            </w:pPr>
            <w:r>
              <w:rPr>
                <w:bCs/>
                <w:i/>
                <w:position w:val="-1"/>
                <w:sz w:val="20"/>
                <w:szCs w:val="20"/>
              </w:rPr>
              <w:t xml:space="preserve"> </w:t>
            </w:r>
            <w:r w:rsidRPr="00171605">
              <w:rPr>
                <w:bCs/>
                <w:i/>
                <w:position w:val="-1"/>
                <w:sz w:val="20"/>
                <w:szCs w:val="20"/>
              </w:rPr>
              <w:t>Hazardous substance</w:t>
            </w:r>
          </w:p>
        </w:tc>
      </w:tr>
      <w:tr w:rsidR="006E0DB6" w:rsidRPr="00171605" w14:paraId="361B9FFA" w14:textId="77777777" w:rsidTr="00661989">
        <w:trPr>
          <w:jc w:val="center"/>
        </w:trPr>
        <w:tc>
          <w:tcPr>
            <w:tcW w:w="1673" w:type="dxa"/>
            <w:tcBorders>
              <w:top w:val="single" w:sz="4" w:space="0" w:color="auto"/>
              <w:bottom w:val="single" w:sz="4" w:space="0" w:color="auto"/>
            </w:tcBorders>
          </w:tcPr>
          <w:p w14:paraId="782CE290" w14:textId="77777777" w:rsidR="006E0DB6" w:rsidRPr="00171605" w:rsidRDefault="006E0DB6" w:rsidP="00661989">
            <w:pPr>
              <w:spacing w:before="60" w:after="60"/>
              <w:rPr>
                <w:rFonts w:eastAsia="Meiryo"/>
                <w:spacing w:val="1"/>
                <w:sz w:val="20"/>
                <w:szCs w:val="20"/>
              </w:rPr>
            </w:pPr>
            <w:r w:rsidRPr="00171605">
              <w:rPr>
                <w:rFonts w:eastAsia="Meiryo"/>
                <w:spacing w:val="1"/>
                <w:sz w:val="20"/>
                <w:szCs w:val="20"/>
              </w:rPr>
              <w:t>1</w:t>
            </w:r>
          </w:p>
        </w:tc>
        <w:tc>
          <w:tcPr>
            <w:tcW w:w="2521" w:type="dxa"/>
            <w:tcBorders>
              <w:top w:val="single" w:sz="4" w:space="0" w:color="auto"/>
              <w:bottom w:val="single" w:sz="4" w:space="0" w:color="auto"/>
            </w:tcBorders>
          </w:tcPr>
          <w:p w14:paraId="6CFCB794" w14:textId="07559A86" w:rsidR="006E0DB6" w:rsidRPr="00171605" w:rsidRDefault="006E0DB6" w:rsidP="00661989">
            <w:pPr>
              <w:widowControl w:val="0"/>
              <w:spacing w:before="60" w:after="60"/>
              <w:ind w:right="-70"/>
              <w:rPr>
                <w:rFonts w:eastAsia="Meiryo"/>
                <w:bCs/>
                <w:sz w:val="20"/>
                <w:szCs w:val="20"/>
              </w:rPr>
            </w:pPr>
            <w:r>
              <w:rPr>
                <w:sz w:val="20"/>
              </w:rPr>
              <w:t xml:space="preserve"> </w:t>
            </w:r>
            <w:r w:rsidRPr="008B526B">
              <w:rPr>
                <w:sz w:val="20"/>
              </w:rPr>
              <w:t>Lead</w:t>
            </w:r>
          </w:p>
        </w:tc>
      </w:tr>
    </w:tbl>
    <w:p w14:paraId="18929F31" w14:textId="02A171BB" w:rsidR="00BD1DF7" w:rsidRDefault="00BD1DF7" w:rsidP="006E0DB6"/>
    <w:sectPr w:rsidR="00BD1DF7" w:rsidSect="0072135A">
      <w:headerReference w:type="default" r:id="rId15"/>
      <w:footerReference w:type="default" r:id="rId16"/>
      <w:headerReference w:type="first" r:id="rId17"/>
      <w:footerReference w:type="first" r:id="rId18"/>
      <w:pgSz w:w="11906" w:h="16838"/>
      <w:pgMar w:top="1440" w:right="849" w:bottom="1440" w:left="1418"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5D727" w14:textId="77777777" w:rsidR="00E72061" w:rsidRDefault="00E72061" w:rsidP="007433F2">
      <w:r>
        <w:separator/>
      </w:r>
    </w:p>
  </w:endnote>
  <w:endnote w:type="continuationSeparator" w:id="0">
    <w:p w14:paraId="1B26DBAF" w14:textId="77777777" w:rsidR="00E72061" w:rsidRDefault="00E72061" w:rsidP="007433F2">
      <w:r>
        <w:continuationSeparator/>
      </w:r>
    </w:p>
  </w:endnote>
  <w:endnote w:type="continuationNotice" w:id="1">
    <w:p w14:paraId="29A26195" w14:textId="77777777" w:rsidR="00E72061" w:rsidRDefault="00E720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7" w:type="dxa"/>
      <w:tblInd w:w="-431" w:type="dxa"/>
      <w:tblLook w:val="04A0" w:firstRow="1" w:lastRow="0" w:firstColumn="1" w:lastColumn="0" w:noHBand="0" w:noVBand="1"/>
    </w:tblPr>
    <w:tblGrid>
      <w:gridCol w:w="2551"/>
      <w:gridCol w:w="851"/>
      <w:gridCol w:w="1701"/>
      <w:gridCol w:w="1701"/>
      <w:gridCol w:w="851"/>
      <w:gridCol w:w="2552"/>
    </w:tblGrid>
    <w:tr w:rsidR="00467EB0" w:rsidRPr="00417384" w14:paraId="2B4F6C77" w14:textId="77777777" w:rsidTr="00074311">
      <w:tc>
        <w:tcPr>
          <w:tcW w:w="3402" w:type="dxa"/>
          <w:gridSpan w:val="2"/>
          <w:vAlign w:val="center"/>
        </w:tcPr>
        <w:p w14:paraId="66C5F899" w14:textId="26C6997E" w:rsidR="00467EB0" w:rsidRPr="00417384" w:rsidRDefault="00467EB0" w:rsidP="00074311">
          <w:pPr>
            <w:pStyle w:val="NoSpacing"/>
            <w:jc w:val="left"/>
            <w:rPr>
              <w:sz w:val="14"/>
              <w:szCs w:val="14"/>
            </w:rPr>
          </w:pPr>
          <w:r>
            <w:rPr>
              <w:sz w:val="14"/>
              <w:szCs w:val="14"/>
            </w:rPr>
            <w:t>OHS</w:t>
          </w:r>
          <w:r w:rsidRPr="00417384">
            <w:rPr>
              <w:sz w:val="14"/>
              <w:szCs w:val="14"/>
            </w:rPr>
            <w:t xml:space="preserve"> </w:t>
          </w:r>
          <w:r w:rsidR="00D42FBA">
            <w:rPr>
              <w:sz w:val="14"/>
              <w:szCs w:val="14"/>
            </w:rPr>
            <w:t>Health Monitoring Procedure</w:t>
          </w:r>
        </w:p>
      </w:tc>
      <w:tc>
        <w:tcPr>
          <w:tcW w:w="3402" w:type="dxa"/>
          <w:gridSpan w:val="2"/>
          <w:vAlign w:val="center"/>
        </w:tcPr>
        <w:p w14:paraId="53DEF2C0" w14:textId="77777777" w:rsidR="00467EB0" w:rsidRPr="00417384" w:rsidRDefault="00467EB0" w:rsidP="0046322B">
          <w:pPr>
            <w:pStyle w:val="NoSpacing"/>
            <w:jc w:val="center"/>
            <w:rPr>
              <w:sz w:val="14"/>
              <w:szCs w:val="14"/>
            </w:rPr>
          </w:pPr>
          <w:r w:rsidRPr="00417384">
            <w:rPr>
              <w:sz w:val="14"/>
              <w:szCs w:val="14"/>
            </w:rPr>
            <w:t>This Document is Uncontrolled when Printed</w:t>
          </w:r>
        </w:p>
      </w:tc>
      <w:tc>
        <w:tcPr>
          <w:tcW w:w="3403" w:type="dxa"/>
          <w:gridSpan w:val="2"/>
          <w:vAlign w:val="center"/>
        </w:tcPr>
        <w:p w14:paraId="2B13A28B" w14:textId="6DBDD764" w:rsidR="00467EB0" w:rsidRPr="00417384" w:rsidRDefault="00467EB0" w:rsidP="00613239">
          <w:pPr>
            <w:pStyle w:val="NoSpacing"/>
            <w:rPr>
              <w:sz w:val="14"/>
              <w:szCs w:val="14"/>
            </w:rPr>
          </w:pPr>
          <w:r w:rsidRPr="00417384">
            <w:rPr>
              <w:sz w:val="14"/>
              <w:szCs w:val="14"/>
            </w:rPr>
            <w:t xml:space="preserve">Responsible Officer: </w:t>
          </w:r>
          <w:r w:rsidR="00EC6CE9">
            <w:rPr>
              <w:sz w:val="14"/>
              <w:szCs w:val="14"/>
            </w:rPr>
            <w:t xml:space="preserve">Manager </w:t>
          </w:r>
          <w:r w:rsidR="007B3708" w:rsidRPr="00001171">
            <w:rPr>
              <w:sz w:val="14"/>
              <w:szCs w:val="14"/>
            </w:rPr>
            <w:t>OHS</w:t>
          </w:r>
        </w:p>
      </w:tc>
    </w:tr>
    <w:tr w:rsidR="00467EB0" w:rsidRPr="00417384" w14:paraId="29F71B81" w14:textId="77777777" w:rsidTr="00074311">
      <w:tc>
        <w:tcPr>
          <w:tcW w:w="2551" w:type="dxa"/>
          <w:vAlign w:val="center"/>
        </w:tcPr>
        <w:p w14:paraId="2100CD07" w14:textId="5703A826" w:rsidR="00467EB0" w:rsidRPr="00417384" w:rsidRDefault="00467EB0" w:rsidP="003168C7">
          <w:pPr>
            <w:pStyle w:val="NoSpacing"/>
            <w:rPr>
              <w:sz w:val="14"/>
              <w:szCs w:val="14"/>
            </w:rPr>
          </w:pPr>
          <w:r w:rsidRPr="00417384">
            <w:rPr>
              <w:sz w:val="14"/>
              <w:szCs w:val="14"/>
            </w:rPr>
            <w:t xml:space="preserve">Version: </w:t>
          </w:r>
          <w:r w:rsidR="00D42FBA">
            <w:rPr>
              <w:sz w:val="14"/>
              <w:szCs w:val="14"/>
            </w:rPr>
            <w:t>1.</w:t>
          </w:r>
          <w:r w:rsidR="00001171">
            <w:rPr>
              <w:sz w:val="14"/>
              <w:szCs w:val="14"/>
            </w:rPr>
            <w:t>5</w:t>
          </w:r>
        </w:p>
      </w:tc>
      <w:tc>
        <w:tcPr>
          <w:tcW w:w="2552" w:type="dxa"/>
          <w:gridSpan w:val="2"/>
          <w:vAlign w:val="center"/>
        </w:tcPr>
        <w:p w14:paraId="36C63712" w14:textId="6B580931" w:rsidR="00467EB0" w:rsidRPr="00417384" w:rsidRDefault="00467EB0" w:rsidP="00D42FBA">
          <w:pPr>
            <w:pStyle w:val="NoSpacing"/>
            <w:jc w:val="left"/>
            <w:rPr>
              <w:sz w:val="14"/>
              <w:szCs w:val="14"/>
            </w:rPr>
          </w:pPr>
          <w:r>
            <w:rPr>
              <w:sz w:val="14"/>
              <w:szCs w:val="14"/>
            </w:rPr>
            <w:t xml:space="preserve">Issue Date: </w:t>
          </w:r>
          <w:r w:rsidR="00E31035">
            <w:rPr>
              <w:sz w:val="14"/>
              <w:szCs w:val="14"/>
            </w:rPr>
            <w:t>November</w:t>
          </w:r>
          <w:r w:rsidR="00D42FBA">
            <w:rPr>
              <w:sz w:val="14"/>
              <w:szCs w:val="14"/>
            </w:rPr>
            <w:t xml:space="preserve"> 2019</w:t>
          </w:r>
        </w:p>
      </w:tc>
      <w:tc>
        <w:tcPr>
          <w:tcW w:w="2552" w:type="dxa"/>
          <w:gridSpan w:val="2"/>
          <w:vAlign w:val="center"/>
        </w:tcPr>
        <w:p w14:paraId="6D3B89D9" w14:textId="25FF7887" w:rsidR="00467EB0" w:rsidRPr="00417384" w:rsidRDefault="00467EB0" w:rsidP="00D42FBA">
          <w:pPr>
            <w:pStyle w:val="NoSpacing"/>
            <w:jc w:val="left"/>
            <w:rPr>
              <w:sz w:val="14"/>
              <w:szCs w:val="14"/>
            </w:rPr>
          </w:pPr>
          <w:r w:rsidRPr="00417384">
            <w:rPr>
              <w:sz w:val="14"/>
              <w:szCs w:val="14"/>
            </w:rPr>
            <w:t xml:space="preserve">Next Review: </w:t>
          </w:r>
          <w:r w:rsidR="00E31035">
            <w:rPr>
              <w:sz w:val="14"/>
              <w:szCs w:val="14"/>
            </w:rPr>
            <w:t>November</w:t>
          </w:r>
          <w:r w:rsidR="00D42FBA">
            <w:rPr>
              <w:sz w:val="14"/>
              <w:szCs w:val="14"/>
            </w:rPr>
            <w:t xml:space="preserve"> 2022</w:t>
          </w:r>
        </w:p>
      </w:tc>
      <w:tc>
        <w:tcPr>
          <w:tcW w:w="2552" w:type="dxa"/>
          <w:vAlign w:val="center"/>
        </w:tcPr>
        <w:p w14:paraId="202441A5" w14:textId="45386202" w:rsidR="00467EB0" w:rsidRPr="00417384" w:rsidRDefault="00467EB0" w:rsidP="0046322B">
          <w:pPr>
            <w:pStyle w:val="NoSpacing"/>
            <w:jc w:val="right"/>
            <w:rPr>
              <w:sz w:val="14"/>
              <w:szCs w:val="14"/>
            </w:rPr>
          </w:pPr>
          <w:r w:rsidRPr="00417384">
            <w:rPr>
              <w:sz w:val="14"/>
              <w:szCs w:val="14"/>
            </w:rPr>
            <w:fldChar w:fldCharType="begin"/>
          </w:r>
          <w:r w:rsidRPr="00417384">
            <w:rPr>
              <w:sz w:val="14"/>
              <w:szCs w:val="14"/>
            </w:rPr>
            <w:instrText xml:space="preserve"> PAGE  \* Arabic  \* MERGEFORMAT </w:instrText>
          </w:r>
          <w:r w:rsidRPr="00417384">
            <w:rPr>
              <w:sz w:val="14"/>
              <w:szCs w:val="14"/>
            </w:rPr>
            <w:fldChar w:fldCharType="separate"/>
          </w:r>
          <w:r w:rsidR="006F25D0">
            <w:rPr>
              <w:noProof/>
              <w:sz w:val="14"/>
              <w:szCs w:val="14"/>
            </w:rPr>
            <w:t>3</w:t>
          </w:r>
          <w:r w:rsidRPr="00417384">
            <w:rPr>
              <w:sz w:val="14"/>
              <w:szCs w:val="14"/>
            </w:rPr>
            <w:fldChar w:fldCharType="end"/>
          </w:r>
          <w:r>
            <w:rPr>
              <w:sz w:val="14"/>
              <w:szCs w:val="14"/>
            </w:rPr>
            <w:t>/</w:t>
          </w:r>
          <w:r w:rsidRPr="00417384">
            <w:rPr>
              <w:sz w:val="14"/>
              <w:szCs w:val="14"/>
            </w:rPr>
            <w:fldChar w:fldCharType="begin"/>
          </w:r>
          <w:r w:rsidRPr="00417384">
            <w:rPr>
              <w:sz w:val="14"/>
              <w:szCs w:val="14"/>
            </w:rPr>
            <w:instrText xml:space="preserve"> NUMPAGES  \* Arabic  \* MERGEFORMAT </w:instrText>
          </w:r>
          <w:r w:rsidRPr="00417384">
            <w:rPr>
              <w:sz w:val="14"/>
              <w:szCs w:val="14"/>
            </w:rPr>
            <w:fldChar w:fldCharType="separate"/>
          </w:r>
          <w:r w:rsidR="006F25D0">
            <w:rPr>
              <w:noProof/>
              <w:sz w:val="14"/>
              <w:szCs w:val="14"/>
            </w:rPr>
            <w:t>4</w:t>
          </w:r>
          <w:r w:rsidRPr="00417384">
            <w:rPr>
              <w:noProof/>
              <w:sz w:val="14"/>
              <w:szCs w:val="14"/>
            </w:rPr>
            <w:fldChar w:fldCharType="end"/>
          </w:r>
        </w:p>
      </w:tc>
    </w:tr>
  </w:tbl>
  <w:p w14:paraId="409EDEA1" w14:textId="77777777" w:rsidR="00467EB0" w:rsidRDefault="00467EB0" w:rsidP="00FA0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7" w:type="dxa"/>
      <w:tblInd w:w="-431" w:type="dxa"/>
      <w:tblLook w:val="04A0" w:firstRow="1" w:lastRow="0" w:firstColumn="1" w:lastColumn="0" w:noHBand="0" w:noVBand="1"/>
    </w:tblPr>
    <w:tblGrid>
      <w:gridCol w:w="2551"/>
      <w:gridCol w:w="851"/>
      <w:gridCol w:w="1701"/>
      <w:gridCol w:w="1701"/>
      <w:gridCol w:w="851"/>
      <w:gridCol w:w="2552"/>
    </w:tblGrid>
    <w:tr w:rsidR="00FA0663" w:rsidRPr="00417384" w14:paraId="05D295A2" w14:textId="77777777" w:rsidTr="00FA0663">
      <w:tc>
        <w:tcPr>
          <w:tcW w:w="3402" w:type="dxa"/>
          <w:gridSpan w:val="2"/>
          <w:vAlign w:val="center"/>
        </w:tcPr>
        <w:p w14:paraId="6709A590" w14:textId="1BD7B1C2" w:rsidR="00FA0663" w:rsidRPr="00417384" w:rsidRDefault="00FA0663" w:rsidP="00FA0663">
          <w:pPr>
            <w:pStyle w:val="Footer"/>
          </w:pPr>
          <w:r>
            <w:t>OHS</w:t>
          </w:r>
          <w:r w:rsidRPr="00417384">
            <w:t xml:space="preserve"> </w:t>
          </w:r>
          <w:r w:rsidR="00D42FBA">
            <w:t>Health Monitoring Procedure</w:t>
          </w:r>
        </w:p>
      </w:tc>
      <w:tc>
        <w:tcPr>
          <w:tcW w:w="3402" w:type="dxa"/>
          <w:gridSpan w:val="2"/>
          <w:vAlign w:val="center"/>
        </w:tcPr>
        <w:p w14:paraId="78217926" w14:textId="77777777" w:rsidR="00FA0663" w:rsidRPr="00417384" w:rsidRDefault="00FA0663" w:rsidP="00B14225">
          <w:pPr>
            <w:pStyle w:val="NoSpacing"/>
            <w:jc w:val="center"/>
            <w:rPr>
              <w:sz w:val="14"/>
              <w:szCs w:val="14"/>
            </w:rPr>
          </w:pPr>
          <w:r w:rsidRPr="00417384">
            <w:rPr>
              <w:sz w:val="14"/>
              <w:szCs w:val="14"/>
            </w:rPr>
            <w:t>This Document is Uncontrolled when Printed</w:t>
          </w:r>
        </w:p>
      </w:tc>
      <w:tc>
        <w:tcPr>
          <w:tcW w:w="3403" w:type="dxa"/>
          <w:gridSpan w:val="2"/>
          <w:vAlign w:val="center"/>
        </w:tcPr>
        <w:p w14:paraId="37319FF7" w14:textId="58706F29" w:rsidR="00FA0663" w:rsidRPr="00417384" w:rsidRDefault="00FA0663" w:rsidP="0038288B">
          <w:pPr>
            <w:pStyle w:val="NoSpacing"/>
            <w:rPr>
              <w:sz w:val="14"/>
              <w:szCs w:val="14"/>
            </w:rPr>
          </w:pPr>
          <w:r w:rsidRPr="00417384">
            <w:rPr>
              <w:sz w:val="14"/>
              <w:szCs w:val="14"/>
            </w:rPr>
            <w:t xml:space="preserve">Responsible Officer: </w:t>
          </w:r>
          <w:r w:rsidR="00EC6CE9">
            <w:rPr>
              <w:sz w:val="14"/>
              <w:szCs w:val="14"/>
            </w:rPr>
            <w:t xml:space="preserve">Manager </w:t>
          </w:r>
          <w:r w:rsidR="007B3708" w:rsidRPr="00001171">
            <w:rPr>
              <w:sz w:val="14"/>
              <w:szCs w:val="14"/>
            </w:rPr>
            <w:t>OHS</w:t>
          </w:r>
        </w:p>
      </w:tc>
    </w:tr>
    <w:tr w:rsidR="00FA0663" w:rsidRPr="00417384" w14:paraId="487615B8" w14:textId="77777777" w:rsidTr="00FA0663">
      <w:tc>
        <w:tcPr>
          <w:tcW w:w="2551" w:type="dxa"/>
          <w:vAlign w:val="center"/>
        </w:tcPr>
        <w:p w14:paraId="7AC32597" w14:textId="06707CCD" w:rsidR="00FA0663" w:rsidRPr="00417384" w:rsidRDefault="00FA0663" w:rsidP="00D73ECB">
          <w:pPr>
            <w:pStyle w:val="NoSpacing"/>
            <w:rPr>
              <w:sz w:val="14"/>
              <w:szCs w:val="14"/>
            </w:rPr>
          </w:pPr>
          <w:r w:rsidRPr="00417384">
            <w:rPr>
              <w:sz w:val="14"/>
              <w:szCs w:val="14"/>
            </w:rPr>
            <w:t xml:space="preserve">Version: </w:t>
          </w:r>
          <w:r w:rsidR="00D42FBA">
            <w:rPr>
              <w:sz w:val="14"/>
              <w:szCs w:val="14"/>
            </w:rPr>
            <w:t>1.</w:t>
          </w:r>
          <w:r w:rsidR="00001171">
            <w:rPr>
              <w:sz w:val="14"/>
              <w:szCs w:val="14"/>
            </w:rPr>
            <w:t>5</w:t>
          </w:r>
        </w:p>
      </w:tc>
      <w:tc>
        <w:tcPr>
          <w:tcW w:w="2552" w:type="dxa"/>
          <w:gridSpan w:val="2"/>
          <w:vAlign w:val="center"/>
        </w:tcPr>
        <w:p w14:paraId="2B860579" w14:textId="7C79E634" w:rsidR="00FA0663" w:rsidRPr="00417384" w:rsidRDefault="00FA0663" w:rsidP="00590F24">
          <w:pPr>
            <w:pStyle w:val="NoSpacing"/>
            <w:rPr>
              <w:sz w:val="14"/>
              <w:szCs w:val="14"/>
            </w:rPr>
          </w:pPr>
          <w:r>
            <w:rPr>
              <w:sz w:val="14"/>
              <w:szCs w:val="14"/>
            </w:rPr>
            <w:t xml:space="preserve">Issue Date: </w:t>
          </w:r>
          <w:r w:rsidR="00E31035">
            <w:rPr>
              <w:sz w:val="14"/>
              <w:szCs w:val="14"/>
            </w:rPr>
            <w:t>November</w:t>
          </w:r>
          <w:r w:rsidR="00D42FBA">
            <w:rPr>
              <w:sz w:val="14"/>
              <w:szCs w:val="14"/>
            </w:rPr>
            <w:t xml:space="preserve"> 2019</w:t>
          </w:r>
        </w:p>
      </w:tc>
      <w:tc>
        <w:tcPr>
          <w:tcW w:w="2552" w:type="dxa"/>
          <w:gridSpan w:val="2"/>
          <w:vAlign w:val="center"/>
        </w:tcPr>
        <w:p w14:paraId="4F8CB0EC" w14:textId="772059B1" w:rsidR="00FA0663" w:rsidRPr="00417384" w:rsidRDefault="00FA0663" w:rsidP="00ED3872">
          <w:pPr>
            <w:pStyle w:val="NoSpacing"/>
            <w:rPr>
              <w:sz w:val="14"/>
              <w:szCs w:val="14"/>
            </w:rPr>
          </w:pPr>
          <w:r w:rsidRPr="00417384">
            <w:rPr>
              <w:sz w:val="14"/>
              <w:szCs w:val="14"/>
            </w:rPr>
            <w:t xml:space="preserve">Next Review: </w:t>
          </w:r>
          <w:r w:rsidR="00E31035">
            <w:rPr>
              <w:sz w:val="14"/>
              <w:szCs w:val="14"/>
            </w:rPr>
            <w:t>November</w:t>
          </w:r>
          <w:r w:rsidR="00D42FBA">
            <w:rPr>
              <w:sz w:val="14"/>
              <w:szCs w:val="14"/>
            </w:rPr>
            <w:t xml:space="preserve"> 2022</w:t>
          </w:r>
        </w:p>
      </w:tc>
      <w:tc>
        <w:tcPr>
          <w:tcW w:w="2552" w:type="dxa"/>
          <w:vAlign w:val="center"/>
        </w:tcPr>
        <w:p w14:paraId="636C2FE3" w14:textId="59ED176B" w:rsidR="00FA0663" w:rsidRPr="00417384" w:rsidRDefault="00FA0663" w:rsidP="00B14225">
          <w:pPr>
            <w:pStyle w:val="NoSpacing"/>
            <w:jc w:val="right"/>
            <w:rPr>
              <w:sz w:val="14"/>
              <w:szCs w:val="14"/>
            </w:rPr>
          </w:pPr>
          <w:r w:rsidRPr="00417384">
            <w:rPr>
              <w:sz w:val="14"/>
              <w:szCs w:val="14"/>
            </w:rPr>
            <w:fldChar w:fldCharType="begin"/>
          </w:r>
          <w:r w:rsidRPr="00417384">
            <w:rPr>
              <w:sz w:val="14"/>
              <w:szCs w:val="14"/>
            </w:rPr>
            <w:instrText xml:space="preserve"> PAGE  \* Arabic  \* MERGEFORMAT </w:instrText>
          </w:r>
          <w:r w:rsidRPr="00417384">
            <w:rPr>
              <w:sz w:val="14"/>
              <w:szCs w:val="14"/>
            </w:rPr>
            <w:fldChar w:fldCharType="separate"/>
          </w:r>
          <w:r w:rsidR="006F25D0">
            <w:rPr>
              <w:noProof/>
              <w:sz w:val="14"/>
              <w:szCs w:val="14"/>
            </w:rPr>
            <w:t>1</w:t>
          </w:r>
          <w:r w:rsidRPr="00417384">
            <w:rPr>
              <w:sz w:val="14"/>
              <w:szCs w:val="14"/>
            </w:rPr>
            <w:fldChar w:fldCharType="end"/>
          </w:r>
          <w:r>
            <w:rPr>
              <w:sz w:val="14"/>
              <w:szCs w:val="14"/>
            </w:rPr>
            <w:t>/</w:t>
          </w:r>
          <w:r w:rsidRPr="00417384">
            <w:rPr>
              <w:sz w:val="14"/>
              <w:szCs w:val="14"/>
            </w:rPr>
            <w:fldChar w:fldCharType="begin"/>
          </w:r>
          <w:r w:rsidRPr="00417384">
            <w:rPr>
              <w:sz w:val="14"/>
              <w:szCs w:val="14"/>
            </w:rPr>
            <w:instrText xml:space="preserve"> NUMPAGES  \* Arabic  \* MERGEFORMAT </w:instrText>
          </w:r>
          <w:r w:rsidRPr="00417384">
            <w:rPr>
              <w:sz w:val="14"/>
              <w:szCs w:val="14"/>
            </w:rPr>
            <w:fldChar w:fldCharType="separate"/>
          </w:r>
          <w:r w:rsidR="006F25D0">
            <w:rPr>
              <w:noProof/>
              <w:sz w:val="14"/>
              <w:szCs w:val="14"/>
            </w:rPr>
            <w:t>4</w:t>
          </w:r>
          <w:r w:rsidRPr="00417384">
            <w:rPr>
              <w:noProof/>
              <w:sz w:val="14"/>
              <w:szCs w:val="14"/>
            </w:rPr>
            <w:fldChar w:fldCharType="end"/>
          </w:r>
        </w:p>
      </w:tc>
    </w:tr>
  </w:tbl>
  <w:p w14:paraId="201BD6BC" w14:textId="77777777" w:rsidR="00FA0663" w:rsidRDefault="00FA0663" w:rsidP="00FA0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60735" w14:textId="77777777" w:rsidR="00E72061" w:rsidRDefault="00E72061" w:rsidP="007433F2">
      <w:r>
        <w:separator/>
      </w:r>
    </w:p>
  </w:footnote>
  <w:footnote w:type="continuationSeparator" w:id="0">
    <w:p w14:paraId="002C00A3" w14:textId="77777777" w:rsidR="00E72061" w:rsidRDefault="00E72061" w:rsidP="007433F2">
      <w:r>
        <w:continuationSeparator/>
      </w:r>
    </w:p>
  </w:footnote>
  <w:footnote w:type="continuationNotice" w:id="1">
    <w:p w14:paraId="196E7249" w14:textId="77777777" w:rsidR="00E72061" w:rsidRDefault="00E720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61" w:type="dxa"/>
      <w:tblInd w:w="-572" w:type="dxa"/>
      <w:tblLook w:val="04A0" w:firstRow="1" w:lastRow="0" w:firstColumn="1" w:lastColumn="0" w:noHBand="0" w:noVBand="1"/>
    </w:tblPr>
    <w:tblGrid>
      <w:gridCol w:w="2240"/>
      <w:gridCol w:w="6095"/>
      <w:gridCol w:w="2126"/>
    </w:tblGrid>
    <w:tr w:rsidR="00BD1DF7" w14:paraId="5B9E6000" w14:textId="77777777" w:rsidTr="00801E50">
      <w:trPr>
        <w:trHeight w:val="1180"/>
      </w:trPr>
      <w:tc>
        <w:tcPr>
          <w:tcW w:w="2240" w:type="dxa"/>
          <w:vAlign w:val="center"/>
        </w:tcPr>
        <w:p w14:paraId="36373731" w14:textId="18F15F20" w:rsidR="00BD1DF7" w:rsidRDefault="00BD1DF7" w:rsidP="00801E50">
          <w:pPr>
            <w:pStyle w:val="Header"/>
            <w:ind w:left="0"/>
            <w:jc w:val="center"/>
          </w:pPr>
          <w:r>
            <w:rPr>
              <w:noProof/>
              <w:lang w:eastAsia="en-AU"/>
            </w:rPr>
            <w:drawing>
              <wp:inline distT="0" distB="0" distL="0" distR="0" wp14:anchorId="0B37234B" wp14:editId="18D1E687">
                <wp:extent cx="1112807" cy="668273"/>
                <wp:effectExtent l="0" t="0" r="0" b="0"/>
                <wp:docPr id="12" name="Picture 12" descr="C:\Users\dweave\ObjectiveHome\objective-8008\Objects\CGD_OSW_LOGO_STACKED_COLOUR_HR (A4544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weave\ObjectiveHome\objective-8008\Objects\CGD_OSW_LOGO_STACKED_COLOUR_HR (A454406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3808" cy="668874"/>
                        </a:xfrm>
                        <a:prstGeom prst="rect">
                          <a:avLst/>
                        </a:prstGeom>
                        <a:noFill/>
                        <a:ln>
                          <a:noFill/>
                        </a:ln>
                      </pic:spPr>
                    </pic:pic>
                  </a:graphicData>
                </a:graphic>
              </wp:inline>
            </w:drawing>
          </w:r>
        </w:p>
      </w:tc>
      <w:tc>
        <w:tcPr>
          <w:tcW w:w="6095" w:type="dxa"/>
          <w:shd w:val="clear" w:color="auto" w:fill="0070C0"/>
          <w:vAlign w:val="center"/>
        </w:tcPr>
        <w:p w14:paraId="7F4D1FAD" w14:textId="17193385" w:rsidR="00BD1DF7" w:rsidRPr="00FA0663" w:rsidRDefault="00F94FAE" w:rsidP="00801E50">
          <w:pPr>
            <w:pStyle w:val="Title"/>
          </w:pPr>
          <w:r>
            <w:rPr>
              <w:color w:val="FFFFFF" w:themeColor="background1"/>
            </w:rPr>
            <w:t>OHS Health Monitoring Procedure</w:t>
          </w:r>
        </w:p>
      </w:tc>
      <w:tc>
        <w:tcPr>
          <w:tcW w:w="2126" w:type="dxa"/>
          <w:vAlign w:val="center"/>
        </w:tcPr>
        <w:p w14:paraId="1C9A0429" w14:textId="369D52F8" w:rsidR="00BD1DF7" w:rsidRPr="008D18D0" w:rsidRDefault="00F94FAE" w:rsidP="00F94FAE">
          <w:pPr>
            <w:spacing w:after="0"/>
            <w:ind w:left="0"/>
            <w:jc w:val="center"/>
            <w:rPr>
              <w:rFonts w:ascii="Calibri" w:hAnsi="Calibri" w:cs="Calibri"/>
              <w:color w:val="000000"/>
            </w:rPr>
          </w:pPr>
          <w:r>
            <w:rPr>
              <w:rFonts w:ascii="Calibri" w:hAnsi="Calibri" w:cs="Calibri"/>
              <w:noProof/>
              <w:color w:val="000000"/>
              <w:lang w:eastAsia="en-AU"/>
            </w:rPr>
            <w:drawing>
              <wp:inline distT="0" distB="0" distL="0" distR="0" wp14:anchorId="4C84B428" wp14:editId="378B9746">
                <wp:extent cx="1192378" cy="710837"/>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3197" cy="717287"/>
                        </a:xfrm>
                        <a:prstGeom prst="rect">
                          <a:avLst/>
                        </a:prstGeom>
                        <a:noFill/>
                        <a:ln>
                          <a:noFill/>
                        </a:ln>
                      </pic:spPr>
                    </pic:pic>
                  </a:graphicData>
                </a:graphic>
              </wp:inline>
            </w:drawing>
          </w:r>
        </w:p>
      </w:tc>
    </w:tr>
  </w:tbl>
  <w:sdt>
    <w:sdtPr>
      <w:id w:val="-862361598"/>
      <w:docPartObj>
        <w:docPartGallery w:val="Watermarks"/>
        <w:docPartUnique/>
      </w:docPartObj>
    </w:sdtPr>
    <w:sdtEndPr/>
    <w:sdtContent>
      <w:p w14:paraId="66D5B50B" w14:textId="17F9D42A" w:rsidR="00467EB0" w:rsidRDefault="0010326A" w:rsidP="00074311">
        <w:pPr>
          <w:pStyle w:val="Header"/>
          <w:ind w:left="0"/>
        </w:pPr>
        <w:r>
          <w:rPr>
            <w:noProof/>
          </w:rPr>
          <w:pict w14:anchorId="567C3E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4"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933B" w14:textId="2CF5E306" w:rsidR="0034276C" w:rsidRDefault="0034276C"/>
  <w:tbl>
    <w:tblPr>
      <w:tblStyle w:val="TableGrid"/>
      <w:tblW w:w="10461" w:type="dxa"/>
      <w:tblInd w:w="-572" w:type="dxa"/>
      <w:tblLook w:val="04A0" w:firstRow="1" w:lastRow="0" w:firstColumn="1" w:lastColumn="0" w:noHBand="0" w:noVBand="1"/>
    </w:tblPr>
    <w:tblGrid>
      <w:gridCol w:w="2256"/>
      <w:gridCol w:w="6079"/>
      <w:gridCol w:w="2126"/>
    </w:tblGrid>
    <w:tr w:rsidR="00193D05" w14:paraId="07950842" w14:textId="77777777" w:rsidTr="0034276C">
      <w:trPr>
        <w:trHeight w:val="940"/>
      </w:trPr>
      <w:tc>
        <w:tcPr>
          <w:tcW w:w="2256" w:type="dxa"/>
          <w:vAlign w:val="center"/>
        </w:tcPr>
        <w:p w14:paraId="6024CB85" w14:textId="257BC1B0" w:rsidR="00ED3872" w:rsidRDefault="00193D05" w:rsidP="00B14225">
          <w:pPr>
            <w:pStyle w:val="Header"/>
            <w:ind w:left="0"/>
            <w:jc w:val="center"/>
          </w:pPr>
          <w:r>
            <w:rPr>
              <w:noProof/>
            </w:rPr>
            <w:drawing>
              <wp:inline distT="0" distB="0" distL="0" distR="0" wp14:anchorId="5CFEA5A3" wp14:editId="2DCD6E9E">
                <wp:extent cx="1293269" cy="410747"/>
                <wp:effectExtent l="0" t="0" r="2540" b="8890"/>
                <wp:docPr id="1410768751" name="Picture 1" descr="Corporate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 logo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512" cy="437820"/>
                        </a:xfrm>
                        <a:prstGeom prst="rect">
                          <a:avLst/>
                        </a:prstGeom>
                        <a:noFill/>
                        <a:ln>
                          <a:noFill/>
                        </a:ln>
                      </pic:spPr>
                    </pic:pic>
                  </a:graphicData>
                </a:graphic>
              </wp:inline>
            </w:drawing>
          </w:r>
        </w:p>
      </w:tc>
      <w:tc>
        <w:tcPr>
          <w:tcW w:w="6079" w:type="dxa"/>
          <w:shd w:val="clear" w:color="auto" w:fill="0070C0"/>
          <w:vAlign w:val="center"/>
        </w:tcPr>
        <w:p w14:paraId="721840E4" w14:textId="77777777" w:rsidR="00ED3872" w:rsidRDefault="00ED3872" w:rsidP="00ED3872">
          <w:pPr>
            <w:pStyle w:val="Title"/>
            <w:rPr>
              <w:color w:val="FFFFFF" w:themeColor="background1"/>
            </w:rPr>
          </w:pPr>
          <w:r>
            <w:rPr>
              <w:color w:val="FFFFFF" w:themeColor="background1"/>
            </w:rPr>
            <w:t>OHS Health Monitoring Procedure</w:t>
          </w:r>
        </w:p>
        <w:p w14:paraId="7EA0959D" w14:textId="29F1F985" w:rsidR="0034276C" w:rsidRPr="0034276C" w:rsidRDefault="0034276C" w:rsidP="0034276C">
          <w:pPr>
            <w:jc w:val="center"/>
          </w:pPr>
        </w:p>
      </w:tc>
      <w:tc>
        <w:tcPr>
          <w:tcW w:w="2126" w:type="dxa"/>
          <w:vAlign w:val="center"/>
        </w:tcPr>
        <w:p w14:paraId="7198A23E" w14:textId="25A739E0" w:rsidR="00ED3872" w:rsidRPr="008D18D0" w:rsidRDefault="00ED3872" w:rsidP="00ED3872">
          <w:pPr>
            <w:spacing w:after="0"/>
            <w:ind w:left="0"/>
            <w:jc w:val="center"/>
            <w:rPr>
              <w:rFonts w:ascii="Calibri" w:hAnsi="Calibri" w:cs="Calibri"/>
              <w:color w:val="000000"/>
            </w:rPr>
          </w:pPr>
          <w:r>
            <w:rPr>
              <w:rFonts w:ascii="Calibri" w:hAnsi="Calibri" w:cs="Calibri"/>
              <w:noProof/>
              <w:color w:val="000000"/>
              <w:lang w:eastAsia="en-AU"/>
            </w:rPr>
            <w:drawing>
              <wp:inline distT="0" distB="0" distL="0" distR="0" wp14:anchorId="0E966558" wp14:editId="5EFABE19">
                <wp:extent cx="1104367" cy="658368"/>
                <wp:effectExtent l="19050" t="19050" r="19685" b="279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2345" cy="663124"/>
                        </a:xfrm>
                        <a:prstGeom prst="rect">
                          <a:avLst/>
                        </a:prstGeom>
                        <a:noFill/>
                        <a:ln>
                          <a:solidFill>
                            <a:schemeClr val="bg1"/>
                          </a:solidFill>
                        </a:ln>
                      </pic:spPr>
                    </pic:pic>
                  </a:graphicData>
                </a:graphic>
              </wp:inline>
            </w:drawing>
          </w:r>
        </w:p>
      </w:tc>
    </w:tr>
  </w:tbl>
  <w:p w14:paraId="2E657A92" w14:textId="17E26016" w:rsidR="00074311" w:rsidRDefault="00074311" w:rsidP="00074311">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3D9"/>
    <w:multiLevelType w:val="hybridMultilevel"/>
    <w:tmpl w:val="8BD6F568"/>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start w:val="1"/>
      <w:numFmt w:val="bullet"/>
      <w:lvlText w:val=""/>
      <w:lvlJc w:val="left"/>
      <w:pPr>
        <w:ind w:left="2869" w:hanging="360"/>
      </w:pPr>
      <w:rPr>
        <w:rFonts w:ascii="Wingdings" w:hAnsi="Wingdings" w:hint="default"/>
      </w:rPr>
    </w:lvl>
    <w:lvl w:ilvl="3" w:tplc="0C090001">
      <w:start w:val="1"/>
      <w:numFmt w:val="bullet"/>
      <w:lvlText w:val=""/>
      <w:lvlJc w:val="left"/>
      <w:pPr>
        <w:ind w:left="3589" w:hanging="360"/>
      </w:pPr>
      <w:rPr>
        <w:rFonts w:ascii="Symbol" w:hAnsi="Symbol" w:hint="default"/>
      </w:rPr>
    </w:lvl>
    <w:lvl w:ilvl="4" w:tplc="0C090003">
      <w:start w:val="1"/>
      <w:numFmt w:val="bullet"/>
      <w:lvlText w:val="o"/>
      <w:lvlJc w:val="left"/>
      <w:pPr>
        <w:ind w:left="4309" w:hanging="360"/>
      </w:pPr>
      <w:rPr>
        <w:rFonts w:ascii="Courier New" w:hAnsi="Courier New" w:cs="Courier New" w:hint="default"/>
      </w:rPr>
    </w:lvl>
    <w:lvl w:ilvl="5" w:tplc="0C090005">
      <w:start w:val="1"/>
      <w:numFmt w:val="bullet"/>
      <w:lvlText w:val=""/>
      <w:lvlJc w:val="left"/>
      <w:pPr>
        <w:ind w:left="5029" w:hanging="360"/>
      </w:pPr>
      <w:rPr>
        <w:rFonts w:ascii="Wingdings" w:hAnsi="Wingdings" w:hint="default"/>
      </w:rPr>
    </w:lvl>
    <w:lvl w:ilvl="6" w:tplc="0C090001">
      <w:start w:val="1"/>
      <w:numFmt w:val="bullet"/>
      <w:lvlText w:val=""/>
      <w:lvlJc w:val="left"/>
      <w:pPr>
        <w:ind w:left="5749" w:hanging="360"/>
      </w:pPr>
      <w:rPr>
        <w:rFonts w:ascii="Symbol" w:hAnsi="Symbol" w:hint="default"/>
      </w:rPr>
    </w:lvl>
    <w:lvl w:ilvl="7" w:tplc="0C090003">
      <w:start w:val="1"/>
      <w:numFmt w:val="bullet"/>
      <w:lvlText w:val="o"/>
      <w:lvlJc w:val="left"/>
      <w:pPr>
        <w:ind w:left="6469" w:hanging="360"/>
      </w:pPr>
      <w:rPr>
        <w:rFonts w:ascii="Courier New" w:hAnsi="Courier New" w:cs="Courier New" w:hint="default"/>
      </w:rPr>
    </w:lvl>
    <w:lvl w:ilvl="8" w:tplc="0C090005">
      <w:start w:val="1"/>
      <w:numFmt w:val="bullet"/>
      <w:lvlText w:val=""/>
      <w:lvlJc w:val="left"/>
      <w:pPr>
        <w:ind w:left="7189" w:hanging="360"/>
      </w:pPr>
      <w:rPr>
        <w:rFonts w:ascii="Wingdings" w:hAnsi="Wingdings" w:hint="default"/>
      </w:rPr>
    </w:lvl>
  </w:abstractNum>
  <w:abstractNum w:abstractNumId="1" w15:restartNumberingAfterBreak="0">
    <w:nsid w:val="05A0702A"/>
    <w:multiLevelType w:val="hybridMultilevel"/>
    <w:tmpl w:val="89645018"/>
    <w:lvl w:ilvl="0" w:tplc="0C090001">
      <w:start w:val="1"/>
      <w:numFmt w:val="bullet"/>
      <w:lvlText w:val=""/>
      <w:lvlJc w:val="left"/>
      <w:pPr>
        <w:ind w:left="578"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start w:val="1"/>
      <w:numFmt w:val="bullet"/>
      <w:lvlText w:val=""/>
      <w:lvlJc w:val="left"/>
      <w:pPr>
        <w:ind w:left="2018" w:hanging="360"/>
      </w:pPr>
      <w:rPr>
        <w:rFonts w:ascii="Wingdings" w:hAnsi="Wingdings" w:hint="default"/>
      </w:rPr>
    </w:lvl>
    <w:lvl w:ilvl="3" w:tplc="0C090001">
      <w:start w:val="1"/>
      <w:numFmt w:val="bullet"/>
      <w:lvlText w:val=""/>
      <w:lvlJc w:val="left"/>
      <w:pPr>
        <w:ind w:left="2738" w:hanging="360"/>
      </w:pPr>
      <w:rPr>
        <w:rFonts w:ascii="Symbol" w:hAnsi="Symbol" w:hint="default"/>
      </w:rPr>
    </w:lvl>
    <w:lvl w:ilvl="4" w:tplc="0C090003">
      <w:start w:val="1"/>
      <w:numFmt w:val="bullet"/>
      <w:lvlText w:val="o"/>
      <w:lvlJc w:val="left"/>
      <w:pPr>
        <w:ind w:left="3458" w:hanging="360"/>
      </w:pPr>
      <w:rPr>
        <w:rFonts w:ascii="Courier New" w:hAnsi="Courier New" w:cs="Courier New" w:hint="default"/>
      </w:rPr>
    </w:lvl>
    <w:lvl w:ilvl="5" w:tplc="0C090005">
      <w:start w:val="1"/>
      <w:numFmt w:val="bullet"/>
      <w:lvlText w:val=""/>
      <w:lvlJc w:val="left"/>
      <w:pPr>
        <w:ind w:left="4178" w:hanging="360"/>
      </w:pPr>
      <w:rPr>
        <w:rFonts w:ascii="Wingdings" w:hAnsi="Wingdings" w:hint="default"/>
      </w:rPr>
    </w:lvl>
    <w:lvl w:ilvl="6" w:tplc="0C090001">
      <w:start w:val="1"/>
      <w:numFmt w:val="bullet"/>
      <w:lvlText w:val=""/>
      <w:lvlJc w:val="left"/>
      <w:pPr>
        <w:ind w:left="4898" w:hanging="360"/>
      </w:pPr>
      <w:rPr>
        <w:rFonts w:ascii="Symbol" w:hAnsi="Symbol" w:hint="default"/>
      </w:rPr>
    </w:lvl>
    <w:lvl w:ilvl="7" w:tplc="0C090003">
      <w:start w:val="1"/>
      <w:numFmt w:val="bullet"/>
      <w:lvlText w:val="o"/>
      <w:lvlJc w:val="left"/>
      <w:pPr>
        <w:ind w:left="5618" w:hanging="360"/>
      </w:pPr>
      <w:rPr>
        <w:rFonts w:ascii="Courier New" w:hAnsi="Courier New" w:cs="Courier New" w:hint="default"/>
      </w:rPr>
    </w:lvl>
    <w:lvl w:ilvl="8" w:tplc="0C090005">
      <w:start w:val="1"/>
      <w:numFmt w:val="bullet"/>
      <w:lvlText w:val=""/>
      <w:lvlJc w:val="left"/>
      <w:pPr>
        <w:ind w:left="6338" w:hanging="360"/>
      </w:pPr>
      <w:rPr>
        <w:rFonts w:ascii="Wingdings" w:hAnsi="Wingdings" w:hint="default"/>
      </w:rPr>
    </w:lvl>
  </w:abstractNum>
  <w:abstractNum w:abstractNumId="2" w15:restartNumberingAfterBreak="0">
    <w:nsid w:val="181B06B6"/>
    <w:multiLevelType w:val="hybridMultilevel"/>
    <w:tmpl w:val="A58462E4"/>
    <w:lvl w:ilvl="0" w:tplc="4E848F80">
      <w:start w:val="1"/>
      <w:numFmt w:val="lowerLetter"/>
      <w:pStyle w:val="Level3list"/>
      <w:lvlText w:val="(%1)"/>
      <w:lvlJc w:val="left"/>
      <w:pPr>
        <w:tabs>
          <w:tab w:val="num" w:pos="1800"/>
        </w:tabs>
        <w:ind w:left="1800" w:hanging="360"/>
      </w:pPr>
      <w:rPr>
        <w:rFonts w:hint="default"/>
      </w:rPr>
    </w:lvl>
    <w:lvl w:ilvl="1" w:tplc="04090001">
      <w:start w:val="1"/>
      <w:numFmt w:val="bullet"/>
      <w:lvlText w:val=""/>
      <w:lvlJc w:val="left"/>
      <w:pPr>
        <w:tabs>
          <w:tab w:val="num" w:pos="900"/>
        </w:tabs>
        <w:ind w:left="900" w:hanging="360"/>
      </w:pPr>
      <w:rPr>
        <w:rFonts w:ascii="Symbol" w:hAnsi="Symbol" w:cs="Courier New" w:hint="default"/>
      </w:r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 w15:restartNumberingAfterBreak="0">
    <w:nsid w:val="1A486557"/>
    <w:multiLevelType w:val="hybridMultilevel"/>
    <w:tmpl w:val="673AAD38"/>
    <w:lvl w:ilvl="0" w:tplc="E1E23AFE">
      <w:start w:val="1"/>
      <w:numFmt w:val="decimal"/>
      <w:pStyle w:val="Heading3"/>
      <w:lvlText w:val="%1."/>
      <w:lvlJc w:val="left"/>
      <w:pPr>
        <w:ind w:left="578"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4" w15:restartNumberingAfterBreak="0">
    <w:nsid w:val="1A8508F6"/>
    <w:multiLevelType w:val="hybridMultilevel"/>
    <w:tmpl w:val="E722C1B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5" w15:restartNumberingAfterBreak="0">
    <w:nsid w:val="1C3A24BE"/>
    <w:multiLevelType w:val="hybridMultilevel"/>
    <w:tmpl w:val="6E645960"/>
    <w:lvl w:ilvl="0" w:tplc="0C090001">
      <w:start w:val="1"/>
      <w:numFmt w:val="bullet"/>
      <w:lvlText w:val=""/>
      <w:lvlJc w:val="left"/>
      <w:pPr>
        <w:ind w:left="578"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start w:val="1"/>
      <w:numFmt w:val="bullet"/>
      <w:lvlText w:val=""/>
      <w:lvlJc w:val="left"/>
      <w:pPr>
        <w:ind w:left="2018" w:hanging="360"/>
      </w:pPr>
      <w:rPr>
        <w:rFonts w:ascii="Wingdings" w:hAnsi="Wingdings" w:hint="default"/>
      </w:rPr>
    </w:lvl>
    <w:lvl w:ilvl="3" w:tplc="0C090001">
      <w:start w:val="1"/>
      <w:numFmt w:val="bullet"/>
      <w:lvlText w:val=""/>
      <w:lvlJc w:val="left"/>
      <w:pPr>
        <w:ind w:left="2738" w:hanging="360"/>
      </w:pPr>
      <w:rPr>
        <w:rFonts w:ascii="Symbol" w:hAnsi="Symbol" w:hint="default"/>
      </w:rPr>
    </w:lvl>
    <w:lvl w:ilvl="4" w:tplc="0C090003">
      <w:start w:val="1"/>
      <w:numFmt w:val="bullet"/>
      <w:lvlText w:val="o"/>
      <w:lvlJc w:val="left"/>
      <w:pPr>
        <w:ind w:left="3458" w:hanging="360"/>
      </w:pPr>
      <w:rPr>
        <w:rFonts w:ascii="Courier New" w:hAnsi="Courier New" w:cs="Courier New" w:hint="default"/>
      </w:rPr>
    </w:lvl>
    <w:lvl w:ilvl="5" w:tplc="0C090005">
      <w:start w:val="1"/>
      <w:numFmt w:val="bullet"/>
      <w:lvlText w:val=""/>
      <w:lvlJc w:val="left"/>
      <w:pPr>
        <w:ind w:left="4178" w:hanging="360"/>
      </w:pPr>
      <w:rPr>
        <w:rFonts w:ascii="Wingdings" w:hAnsi="Wingdings" w:hint="default"/>
      </w:rPr>
    </w:lvl>
    <w:lvl w:ilvl="6" w:tplc="0C090001">
      <w:start w:val="1"/>
      <w:numFmt w:val="bullet"/>
      <w:lvlText w:val=""/>
      <w:lvlJc w:val="left"/>
      <w:pPr>
        <w:ind w:left="4898" w:hanging="360"/>
      </w:pPr>
      <w:rPr>
        <w:rFonts w:ascii="Symbol" w:hAnsi="Symbol" w:hint="default"/>
      </w:rPr>
    </w:lvl>
    <w:lvl w:ilvl="7" w:tplc="0C090003">
      <w:start w:val="1"/>
      <w:numFmt w:val="bullet"/>
      <w:lvlText w:val="o"/>
      <w:lvlJc w:val="left"/>
      <w:pPr>
        <w:ind w:left="5618" w:hanging="360"/>
      </w:pPr>
      <w:rPr>
        <w:rFonts w:ascii="Courier New" w:hAnsi="Courier New" w:cs="Courier New" w:hint="default"/>
      </w:rPr>
    </w:lvl>
    <w:lvl w:ilvl="8" w:tplc="0C090005">
      <w:start w:val="1"/>
      <w:numFmt w:val="bullet"/>
      <w:lvlText w:val=""/>
      <w:lvlJc w:val="left"/>
      <w:pPr>
        <w:ind w:left="6338" w:hanging="360"/>
      </w:pPr>
      <w:rPr>
        <w:rFonts w:ascii="Wingdings" w:hAnsi="Wingdings" w:hint="default"/>
      </w:rPr>
    </w:lvl>
  </w:abstractNum>
  <w:abstractNum w:abstractNumId="6" w15:restartNumberingAfterBreak="0">
    <w:nsid w:val="221B1943"/>
    <w:multiLevelType w:val="multilevel"/>
    <w:tmpl w:val="2D322B0A"/>
    <w:lvl w:ilvl="0">
      <w:start w:val="1"/>
      <w:numFmt w:val="decimal"/>
      <w:pStyle w:val="Heading1"/>
      <w:lvlText w:val="%1."/>
      <w:lvlJc w:val="left"/>
      <w:pPr>
        <w:ind w:left="360" w:hanging="360"/>
      </w:pPr>
    </w:lvl>
    <w:lvl w:ilvl="1">
      <w:start w:val="1"/>
      <w:numFmt w:val="decimal"/>
      <w:pStyle w:val="Heading2"/>
      <w:isLgl/>
      <w:lvlText w:val="%1.%2"/>
      <w:lvlJc w:val="left"/>
      <w:pPr>
        <w:ind w:left="662" w:hanging="555"/>
      </w:pPr>
      <w:rPr>
        <w:rFonts w:hint="default"/>
      </w:rPr>
    </w:lvl>
    <w:lvl w:ilvl="2">
      <w:start w:val="3"/>
      <w:numFmt w:val="decimal"/>
      <w:pStyle w:val="Heading4"/>
      <w:isLgl/>
      <w:lvlText w:val="%1.%2.%3"/>
      <w:lvlJc w:val="left"/>
      <w:pPr>
        <w:ind w:left="934"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41" w:hanging="72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615" w:hanging="1080"/>
      </w:pPr>
      <w:rPr>
        <w:rFonts w:hint="default"/>
      </w:rPr>
    </w:lvl>
    <w:lvl w:ilvl="6">
      <w:start w:val="1"/>
      <w:numFmt w:val="decimal"/>
      <w:isLgl/>
      <w:lvlText w:val="%1.%2.%3.%4.%5.%6.%7"/>
      <w:lvlJc w:val="left"/>
      <w:pPr>
        <w:ind w:left="2082" w:hanging="1440"/>
      </w:pPr>
      <w:rPr>
        <w:rFonts w:hint="default"/>
      </w:rPr>
    </w:lvl>
    <w:lvl w:ilvl="7">
      <w:start w:val="1"/>
      <w:numFmt w:val="decimal"/>
      <w:isLgl/>
      <w:lvlText w:val="%1.%2.%3.%4.%5.%6.%7.%8"/>
      <w:lvlJc w:val="left"/>
      <w:pPr>
        <w:ind w:left="2189" w:hanging="1440"/>
      </w:pPr>
      <w:rPr>
        <w:rFonts w:hint="default"/>
      </w:rPr>
    </w:lvl>
    <w:lvl w:ilvl="8">
      <w:start w:val="1"/>
      <w:numFmt w:val="decimal"/>
      <w:isLgl/>
      <w:lvlText w:val="%1.%2.%3.%4.%5.%6.%7.%8.%9"/>
      <w:lvlJc w:val="left"/>
      <w:pPr>
        <w:ind w:left="2656" w:hanging="1800"/>
      </w:pPr>
      <w:rPr>
        <w:rFonts w:hint="default"/>
      </w:rPr>
    </w:lvl>
  </w:abstractNum>
  <w:abstractNum w:abstractNumId="7" w15:restartNumberingAfterBreak="0">
    <w:nsid w:val="3CF3040E"/>
    <w:multiLevelType w:val="multilevel"/>
    <w:tmpl w:val="3B9E9A82"/>
    <w:lvl w:ilvl="0">
      <w:start w:val="5"/>
      <w:numFmt w:val="decimal"/>
      <w:lvlText w:val="%1"/>
      <w:lvlJc w:val="left"/>
      <w:pPr>
        <w:ind w:left="360" w:hanging="360"/>
      </w:pPr>
      <w:rPr>
        <w:rFonts w:hint="default"/>
      </w:rPr>
    </w:lvl>
    <w:lvl w:ilvl="1">
      <w:start w:val="1"/>
      <w:numFmt w:val="decimal"/>
      <w:lvlText w:val="%1.%2"/>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D6F092B"/>
    <w:multiLevelType w:val="singleLevel"/>
    <w:tmpl w:val="AFC4A24E"/>
    <w:lvl w:ilvl="0">
      <w:start w:val="1"/>
      <w:numFmt w:val="upperLetter"/>
      <w:pStyle w:val="Recitals"/>
      <w:lvlText w:val="%1."/>
      <w:lvlJc w:val="left"/>
      <w:pPr>
        <w:tabs>
          <w:tab w:val="num" w:pos="720"/>
        </w:tabs>
        <w:ind w:left="720" w:hanging="720"/>
      </w:pPr>
    </w:lvl>
  </w:abstractNum>
  <w:abstractNum w:abstractNumId="9" w15:restartNumberingAfterBreak="0">
    <w:nsid w:val="43891FF7"/>
    <w:multiLevelType w:val="hybridMultilevel"/>
    <w:tmpl w:val="139A5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55C236A"/>
    <w:multiLevelType w:val="hybridMultilevel"/>
    <w:tmpl w:val="85BE462A"/>
    <w:lvl w:ilvl="0" w:tplc="0C090001">
      <w:start w:val="1"/>
      <w:numFmt w:val="bullet"/>
      <w:lvlText w:val=""/>
      <w:lvlJc w:val="left"/>
      <w:pPr>
        <w:ind w:left="578"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start w:val="1"/>
      <w:numFmt w:val="bullet"/>
      <w:lvlText w:val=""/>
      <w:lvlJc w:val="left"/>
      <w:pPr>
        <w:ind w:left="2018" w:hanging="360"/>
      </w:pPr>
      <w:rPr>
        <w:rFonts w:ascii="Wingdings" w:hAnsi="Wingdings" w:hint="default"/>
      </w:rPr>
    </w:lvl>
    <w:lvl w:ilvl="3" w:tplc="0C090001">
      <w:start w:val="1"/>
      <w:numFmt w:val="bullet"/>
      <w:lvlText w:val=""/>
      <w:lvlJc w:val="left"/>
      <w:pPr>
        <w:ind w:left="2738" w:hanging="360"/>
      </w:pPr>
      <w:rPr>
        <w:rFonts w:ascii="Symbol" w:hAnsi="Symbol" w:hint="default"/>
      </w:rPr>
    </w:lvl>
    <w:lvl w:ilvl="4" w:tplc="0C090003">
      <w:start w:val="1"/>
      <w:numFmt w:val="bullet"/>
      <w:lvlText w:val="o"/>
      <w:lvlJc w:val="left"/>
      <w:pPr>
        <w:ind w:left="3458" w:hanging="360"/>
      </w:pPr>
      <w:rPr>
        <w:rFonts w:ascii="Courier New" w:hAnsi="Courier New" w:cs="Courier New" w:hint="default"/>
      </w:rPr>
    </w:lvl>
    <w:lvl w:ilvl="5" w:tplc="0C090005">
      <w:start w:val="1"/>
      <w:numFmt w:val="bullet"/>
      <w:lvlText w:val=""/>
      <w:lvlJc w:val="left"/>
      <w:pPr>
        <w:ind w:left="4178" w:hanging="360"/>
      </w:pPr>
      <w:rPr>
        <w:rFonts w:ascii="Wingdings" w:hAnsi="Wingdings" w:hint="default"/>
      </w:rPr>
    </w:lvl>
    <w:lvl w:ilvl="6" w:tplc="0C090001">
      <w:start w:val="1"/>
      <w:numFmt w:val="bullet"/>
      <w:lvlText w:val=""/>
      <w:lvlJc w:val="left"/>
      <w:pPr>
        <w:ind w:left="4898" w:hanging="360"/>
      </w:pPr>
      <w:rPr>
        <w:rFonts w:ascii="Symbol" w:hAnsi="Symbol" w:hint="default"/>
      </w:rPr>
    </w:lvl>
    <w:lvl w:ilvl="7" w:tplc="0C090003">
      <w:start w:val="1"/>
      <w:numFmt w:val="bullet"/>
      <w:lvlText w:val="o"/>
      <w:lvlJc w:val="left"/>
      <w:pPr>
        <w:ind w:left="5618" w:hanging="360"/>
      </w:pPr>
      <w:rPr>
        <w:rFonts w:ascii="Courier New" w:hAnsi="Courier New" w:cs="Courier New" w:hint="default"/>
      </w:rPr>
    </w:lvl>
    <w:lvl w:ilvl="8" w:tplc="0C090005">
      <w:start w:val="1"/>
      <w:numFmt w:val="bullet"/>
      <w:lvlText w:val=""/>
      <w:lvlJc w:val="left"/>
      <w:pPr>
        <w:ind w:left="6338" w:hanging="360"/>
      </w:pPr>
      <w:rPr>
        <w:rFonts w:ascii="Wingdings" w:hAnsi="Wingdings" w:hint="default"/>
      </w:rPr>
    </w:lvl>
  </w:abstractNum>
  <w:abstractNum w:abstractNumId="11" w15:restartNumberingAfterBreak="0">
    <w:nsid w:val="5D734A97"/>
    <w:multiLevelType w:val="hybridMultilevel"/>
    <w:tmpl w:val="A8786F3A"/>
    <w:lvl w:ilvl="0" w:tplc="0C090001">
      <w:start w:val="1"/>
      <w:numFmt w:val="bullet"/>
      <w:lvlText w:val=""/>
      <w:lvlJc w:val="left"/>
      <w:pPr>
        <w:ind w:left="578"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start w:val="1"/>
      <w:numFmt w:val="bullet"/>
      <w:lvlText w:val=""/>
      <w:lvlJc w:val="left"/>
      <w:pPr>
        <w:ind w:left="2018" w:hanging="360"/>
      </w:pPr>
      <w:rPr>
        <w:rFonts w:ascii="Wingdings" w:hAnsi="Wingdings" w:hint="default"/>
      </w:rPr>
    </w:lvl>
    <w:lvl w:ilvl="3" w:tplc="0C090001">
      <w:start w:val="1"/>
      <w:numFmt w:val="bullet"/>
      <w:lvlText w:val=""/>
      <w:lvlJc w:val="left"/>
      <w:pPr>
        <w:ind w:left="2738" w:hanging="360"/>
      </w:pPr>
      <w:rPr>
        <w:rFonts w:ascii="Symbol" w:hAnsi="Symbol" w:hint="default"/>
      </w:rPr>
    </w:lvl>
    <w:lvl w:ilvl="4" w:tplc="0C090003">
      <w:start w:val="1"/>
      <w:numFmt w:val="bullet"/>
      <w:lvlText w:val="o"/>
      <w:lvlJc w:val="left"/>
      <w:pPr>
        <w:ind w:left="3458" w:hanging="360"/>
      </w:pPr>
      <w:rPr>
        <w:rFonts w:ascii="Courier New" w:hAnsi="Courier New" w:cs="Courier New" w:hint="default"/>
      </w:rPr>
    </w:lvl>
    <w:lvl w:ilvl="5" w:tplc="0C090005">
      <w:start w:val="1"/>
      <w:numFmt w:val="bullet"/>
      <w:lvlText w:val=""/>
      <w:lvlJc w:val="left"/>
      <w:pPr>
        <w:ind w:left="4178" w:hanging="360"/>
      </w:pPr>
      <w:rPr>
        <w:rFonts w:ascii="Wingdings" w:hAnsi="Wingdings" w:hint="default"/>
      </w:rPr>
    </w:lvl>
    <w:lvl w:ilvl="6" w:tplc="0C090001">
      <w:start w:val="1"/>
      <w:numFmt w:val="bullet"/>
      <w:lvlText w:val=""/>
      <w:lvlJc w:val="left"/>
      <w:pPr>
        <w:ind w:left="4898" w:hanging="360"/>
      </w:pPr>
      <w:rPr>
        <w:rFonts w:ascii="Symbol" w:hAnsi="Symbol" w:hint="default"/>
      </w:rPr>
    </w:lvl>
    <w:lvl w:ilvl="7" w:tplc="0C090003">
      <w:start w:val="1"/>
      <w:numFmt w:val="bullet"/>
      <w:lvlText w:val="o"/>
      <w:lvlJc w:val="left"/>
      <w:pPr>
        <w:ind w:left="5618" w:hanging="360"/>
      </w:pPr>
      <w:rPr>
        <w:rFonts w:ascii="Courier New" w:hAnsi="Courier New" w:cs="Courier New" w:hint="default"/>
      </w:rPr>
    </w:lvl>
    <w:lvl w:ilvl="8" w:tplc="0C090005">
      <w:start w:val="1"/>
      <w:numFmt w:val="bullet"/>
      <w:lvlText w:val=""/>
      <w:lvlJc w:val="left"/>
      <w:pPr>
        <w:ind w:left="6338" w:hanging="360"/>
      </w:pPr>
      <w:rPr>
        <w:rFonts w:ascii="Wingdings" w:hAnsi="Wingdings" w:hint="default"/>
      </w:rPr>
    </w:lvl>
  </w:abstractNum>
  <w:num w:numId="1" w16cid:durableId="395512871">
    <w:abstractNumId w:val="6"/>
  </w:num>
  <w:num w:numId="2" w16cid:durableId="1146510486">
    <w:abstractNumId w:val="7"/>
  </w:num>
  <w:num w:numId="3" w16cid:durableId="237175884">
    <w:abstractNumId w:val="2"/>
  </w:num>
  <w:num w:numId="4" w16cid:durableId="229929834">
    <w:abstractNumId w:val="8"/>
  </w:num>
  <w:num w:numId="5" w16cid:durableId="439303190">
    <w:abstractNumId w:val="3"/>
  </w:num>
  <w:num w:numId="6" w16cid:durableId="610087226">
    <w:abstractNumId w:val="3"/>
    <w:lvlOverride w:ilvl="0">
      <w:startOverride w:val="1"/>
    </w:lvlOverride>
  </w:num>
  <w:num w:numId="7" w16cid:durableId="1719431877">
    <w:abstractNumId w:val="3"/>
    <w:lvlOverride w:ilvl="0">
      <w:startOverride w:val="1"/>
    </w:lvlOverride>
  </w:num>
  <w:num w:numId="8" w16cid:durableId="470171551">
    <w:abstractNumId w:val="3"/>
    <w:lvlOverride w:ilvl="0">
      <w:startOverride w:val="1"/>
    </w:lvlOverride>
  </w:num>
  <w:num w:numId="9" w16cid:durableId="300501658">
    <w:abstractNumId w:val="3"/>
    <w:lvlOverride w:ilvl="0">
      <w:startOverride w:val="1"/>
    </w:lvlOverride>
  </w:num>
  <w:num w:numId="10" w16cid:durableId="1377196697">
    <w:abstractNumId w:val="3"/>
    <w:lvlOverride w:ilvl="0">
      <w:startOverride w:val="1"/>
    </w:lvlOverride>
  </w:num>
  <w:num w:numId="11" w16cid:durableId="2098746128">
    <w:abstractNumId w:val="3"/>
    <w:lvlOverride w:ilvl="0">
      <w:startOverride w:val="1"/>
    </w:lvlOverride>
  </w:num>
  <w:num w:numId="12" w16cid:durableId="1937206734">
    <w:abstractNumId w:val="0"/>
  </w:num>
  <w:num w:numId="13" w16cid:durableId="910507991">
    <w:abstractNumId w:val="4"/>
  </w:num>
  <w:num w:numId="14" w16cid:durableId="1238176951">
    <w:abstractNumId w:val="11"/>
  </w:num>
  <w:num w:numId="15" w16cid:durableId="190429298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1358384">
    <w:abstractNumId w:val="9"/>
  </w:num>
  <w:num w:numId="17" w16cid:durableId="1599604088">
    <w:abstractNumId w:val="1"/>
  </w:num>
  <w:num w:numId="18" w16cid:durableId="1123692685">
    <w:abstractNumId w:val="5"/>
  </w:num>
  <w:num w:numId="19" w16cid:durableId="355497094">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B725FA5-F44C-4BAE-A9C6-697AE952E71F}"/>
    <w:docVar w:name="dgnword-eventsink" w:val="1997914775568"/>
  </w:docVars>
  <w:rsids>
    <w:rsidRoot w:val="000000D6"/>
    <w:rsid w:val="000000D6"/>
    <w:rsid w:val="00001171"/>
    <w:rsid w:val="00002B54"/>
    <w:rsid w:val="00005466"/>
    <w:rsid w:val="000120C7"/>
    <w:rsid w:val="0002744A"/>
    <w:rsid w:val="00040A6A"/>
    <w:rsid w:val="00040DEA"/>
    <w:rsid w:val="0004446B"/>
    <w:rsid w:val="00066E9D"/>
    <w:rsid w:val="00074311"/>
    <w:rsid w:val="000752AE"/>
    <w:rsid w:val="000760A7"/>
    <w:rsid w:val="00090715"/>
    <w:rsid w:val="00091BC2"/>
    <w:rsid w:val="00096F14"/>
    <w:rsid w:val="000A6906"/>
    <w:rsid w:val="000B0517"/>
    <w:rsid w:val="000B53F9"/>
    <w:rsid w:val="000D78AA"/>
    <w:rsid w:val="000F505A"/>
    <w:rsid w:val="000F5621"/>
    <w:rsid w:val="000F7042"/>
    <w:rsid w:val="001014ED"/>
    <w:rsid w:val="00101DB9"/>
    <w:rsid w:val="0010326A"/>
    <w:rsid w:val="00104CDA"/>
    <w:rsid w:val="00107D96"/>
    <w:rsid w:val="00122B62"/>
    <w:rsid w:val="001313D2"/>
    <w:rsid w:val="00134374"/>
    <w:rsid w:val="001364EB"/>
    <w:rsid w:val="00140FC5"/>
    <w:rsid w:val="00141DAC"/>
    <w:rsid w:val="0016652B"/>
    <w:rsid w:val="00167232"/>
    <w:rsid w:val="00176B2B"/>
    <w:rsid w:val="00190408"/>
    <w:rsid w:val="00192450"/>
    <w:rsid w:val="00193D05"/>
    <w:rsid w:val="00196FE4"/>
    <w:rsid w:val="001A070A"/>
    <w:rsid w:val="001A62C5"/>
    <w:rsid w:val="001B11B4"/>
    <w:rsid w:val="001C1EF3"/>
    <w:rsid w:val="001D17DF"/>
    <w:rsid w:val="001D4DC7"/>
    <w:rsid w:val="001D6E2D"/>
    <w:rsid w:val="001E5301"/>
    <w:rsid w:val="001E7C71"/>
    <w:rsid w:val="001E7EFB"/>
    <w:rsid w:val="00203AFB"/>
    <w:rsid w:val="00204ADF"/>
    <w:rsid w:val="00213826"/>
    <w:rsid w:val="00220129"/>
    <w:rsid w:val="00220DF2"/>
    <w:rsid w:val="00223D66"/>
    <w:rsid w:val="00234397"/>
    <w:rsid w:val="002366FA"/>
    <w:rsid w:val="0024196A"/>
    <w:rsid w:val="002455B0"/>
    <w:rsid w:val="00252D49"/>
    <w:rsid w:val="002628DF"/>
    <w:rsid w:val="00263B1A"/>
    <w:rsid w:val="002648FF"/>
    <w:rsid w:val="00270123"/>
    <w:rsid w:val="00276925"/>
    <w:rsid w:val="002834B4"/>
    <w:rsid w:val="00286D94"/>
    <w:rsid w:val="002876F0"/>
    <w:rsid w:val="00291005"/>
    <w:rsid w:val="002A7F31"/>
    <w:rsid w:val="002E6019"/>
    <w:rsid w:val="002F4831"/>
    <w:rsid w:val="002F6993"/>
    <w:rsid w:val="002F7B73"/>
    <w:rsid w:val="00303CE9"/>
    <w:rsid w:val="0030684D"/>
    <w:rsid w:val="003156C4"/>
    <w:rsid w:val="003168C7"/>
    <w:rsid w:val="00321AE4"/>
    <w:rsid w:val="00325D27"/>
    <w:rsid w:val="003270D0"/>
    <w:rsid w:val="003315FE"/>
    <w:rsid w:val="00336AB7"/>
    <w:rsid w:val="0034276C"/>
    <w:rsid w:val="00347F2E"/>
    <w:rsid w:val="00350F26"/>
    <w:rsid w:val="0035265B"/>
    <w:rsid w:val="00352989"/>
    <w:rsid w:val="00352CCA"/>
    <w:rsid w:val="00352F44"/>
    <w:rsid w:val="0035313F"/>
    <w:rsid w:val="00355BC1"/>
    <w:rsid w:val="00361758"/>
    <w:rsid w:val="003722C1"/>
    <w:rsid w:val="003758BA"/>
    <w:rsid w:val="0038288B"/>
    <w:rsid w:val="0039034E"/>
    <w:rsid w:val="00392BF5"/>
    <w:rsid w:val="0039374A"/>
    <w:rsid w:val="003A5B8B"/>
    <w:rsid w:val="003B5FCB"/>
    <w:rsid w:val="003B6D3A"/>
    <w:rsid w:val="003C3064"/>
    <w:rsid w:val="003D3601"/>
    <w:rsid w:val="003D4461"/>
    <w:rsid w:val="003D714E"/>
    <w:rsid w:val="003E0D82"/>
    <w:rsid w:val="003E71D5"/>
    <w:rsid w:val="003F4FAA"/>
    <w:rsid w:val="00405CC5"/>
    <w:rsid w:val="00406113"/>
    <w:rsid w:val="00410BA7"/>
    <w:rsid w:val="00417384"/>
    <w:rsid w:val="00421143"/>
    <w:rsid w:val="00425489"/>
    <w:rsid w:val="00431D32"/>
    <w:rsid w:val="00444181"/>
    <w:rsid w:val="004445D4"/>
    <w:rsid w:val="00460517"/>
    <w:rsid w:val="0046322B"/>
    <w:rsid w:val="00467EB0"/>
    <w:rsid w:val="00471161"/>
    <w:rsid w:val="00471AEE"/>
    <w:rsid w:val="00481CB3"/>
    <w:rsid w:val="00485F55"/>
    <w:rsid w:val="00487BD1"/>
    <w:rsid w:val="00492885"/>
    <w:rsid w:val="004A0E59"/>
    <w:rsid w:val="004A5ED3"/>
    <w:rsid w:val="004B25DE"/>
    <w:rsid w:val="004C1F75"/>
    <w:rsid w:val="004C3585"/>
    <w:rsid w:val="004C59DF"/>
    <w:rsid w:val="004C654A"/>
    <w:rsid w:val="004D3792"/>
    <w:rsid w:val="004E075D"/>
    <w:rsid w:val="004E5972"/>
    <w:rsid w:val="004E5B34"/>
    <w:rsid w:val="004F224E"/>
    <w:rsid w:val="004F312E"/>
    <w:rsid w:val="004F472B"/>
    <w:rsid w:val="004F7DD6"/>
    <w:rsid w:val="00510A76"/>
    <w:rsid w:val="00512756"/>
    <w:rsid w:val="0052674D"/>
    <w:rsid w:val="00534123"/>
    <w:rsid w:val="00535FFB"/>
    <w:rsid w:val="00536C04"/>
    <w:rsid w:val="00550C1F"/>
    <w:rsid w:val="00553AC0"/>
    <w:rsid w:val="00562ACC"/>
    <w:rsid w:val="005656D5"/>
    <w:rsid w:val="00570456"/>
    <w:rsid w:val="00571593"/>
    <w:rsid w:val="00581ECB"/>
    <w:rsid w:val="0058409A"/>
    <w:rsid w:val="00585DF0"/>
    <w:rsid w:val="00590F24"/>
    <w:rsid w:val="0059482D"/>
    <w:rsid w:val="005B034E"/>
    <w:rsid w:val="005D0443"/>
    <w:rsid w:val="006006DF"/>
    <w:rsid w:val="00600B3B"/>
    <w:rsid w:val="0060673C"/>
    <w:rsid w:val="00613239"/>
    <w:rsid w:val="00636249"/>
    <w:rsid w:val="00645860"/>
    <w:rsid w:val="00647790"/>
    <w:rsid w:val="00650214"/>
    <w:rsid w:val="0065122D"/>
    <w:rsid w:val="00651587"/>
    <w:rsid w:val="00666AC5"/>
    <w:rsid w:val="006771C5"/>
    <w:rsid w:val="00680393"/>
    <w:rsid w:val="006838B7"/>
    <w:rsid w:val="00687789"/>
    <w:rsid w:val="0069076A"/>
    <w:rsid w:val="00695B5C"/>
    <w:rsid w:val="00696495"/>
    <w:rsid w:val="006A3907"/>
    <w:rsid w:val="006B5E1D"/>
    <w:rsid w:val="006B7855"/>
    <w:rsid w:val="006D042F"/>
    <w:rsid w:val="006D2BA5"/>
    <w:rsid w:val="006D4463"/>
    <w:rsid w:val="006E0DB6"/>
    <w:rsid w:val="006E1F3E"/>
    <w:rsid w:val="006F0928"/>
    <w:rsid w:val="006F257D"/>
    <w:rsid w:val="006F25D0"/>
    <w:rsid w:val="006F5737"/>
    <w:rsid w:val="007049E7"/>
    <w:rsid w:val="00714373"/>
    <w:rsid w:val="00715024"/>
    <w:rsid w:val="0072135A"/>
    <w:rsid w:val="00722E86"/>
    <w:rsid w:val="00732F6F"/>
    <w:rsid w:val="007433F2"/>
    <w:rsid w:val="007561A7"/>
    <w:rsid w:val="0075730A"/>
    <w:rsid w:val="00771F01"/>
    <w:rsid w:val="00772AD3"/>
    <w:rsid w:val="007732F9"/>
    <w:rsid w:val="00783D57"/>
    <w:rsid w:val="00787675"/>
    <w:rsid w:val="00787A41"/>
    <w:rsid w:val="00791432"/>
    <w:rsid w:val="007930CC"/>
    <w:rsid w:val="007A168A"/>
    <w:rsid w:val="007A52E0"/>
    <w:rsid w:val="007B11CB"/>
    <w:rsid w:val="007B1D81"/>
    <w:rsid w:val="007B3708"/>
    <w:rsid w:val="007E053C"/>
    <w:rsid w:val="007E14FA"/>
    <w:rsid w:val="007F51A6"/>
    <w:rsid w:val="00806E1E"/>
    <w:rsid w:val="00812B1E"/>
    <w:rsid w:val="00823074"/>
    <w:rsid w:val="00846CA4"/>
    <w:rsid w:val="00847AB7"/>
    <w:rsid w:val="00864768"/>
    <w:rsid w:val="00886BE0"/>
    <w:rsid w:val="008B40E7"/>
    <w:rsid w:val="008B6252"/>
    <w:rsid w:val="008B7B91"/>
    <w:rsid w:val="008C48FB"/>
    <w:rsid w:val="008F12A6"/>
    <w:rsid w:val="008F1E44"/>
    <w:rsid w:val="008F2D16"/>
    <w:rsid w:val="008F4841"/>
    <w:rsid w:val="008F66FD"/>
    <w:rsid w:val="008F7238"/>
    <w:rsid w:val="00902CC4"/>
    <w:rsid w:val="00920FF8"/>
    <w:rsid w:val="00921F09"/>
    <w:rsid w:val="0093332B"/>
    <w:rsid w:val="00936A8D"/>
    <w:rsid w:val="00936CB4"/>
    <w:rsid w:val="00947360"/>
    <w:rsid w:val="00955C13"/>
    <w:rsid w:val="009628E6"/>
    <w:rsid w:val="00963DA6"/>
    <w:rsid w:val="00966CA0"/>
    <w:rsid w:val="00980929"/>
    <w:rsid w:val="009871E2"/>
    <w:rsid w:val="00991CAD"/>
    <w:rsid w:val="009A0A62"/>
    <w:rsid w:val="009B623F"/>
    <w:rsid w:val="009B6B75"/>
    <w:rsid w:val="009C181B"/>
    <w:rsid w:val="009C6E30"/>
    <w:rsid w:val="009D12E8"/>
    <w:rsid w:val="009D3131"/>
    <w:rsid w:val="009E133F"/>
    <w:rsid w:val="009F0438"/>
    <w:rsid w:val="009F134F"/>
    <w:rsid w:val="009F67F9"/>
    <w:rsid w:val="009F6A66"/>
    <w:rsid w:val="00A019D0"/>
    <w:rsid w:val="00A04665"/>
    <w:rsid w:val="00A10E6A"/>
    <w:rsid w:val="00A17E7F"/>
    <w:rsid w:val="00A23889"/>
    <w:rsid w:val="00A2466A"/>
    <w:rsid w:val="00A24E0E"/>
    <w:rsid w:val="00A26E93"/>
    <w:rsid w:val="00A50AE6"/>
    <w:rsid w:val="00A51D5A"/>
    <w:rsid w:val="00A55252"/>
    <w:rsid w:val="00A63E78"/>
    <w:rsid w:val="00A66C2C"/>
    <w:rsid w:val="00A724C0"/>
    <w:rsid w:val="00A7766D"/>
    <w:rsid w:val="00A832AC"/>
    <w:rsid w:val="00A835FD"/>
    <w:rsid w:val="00A91225"/>
    <w:rsid w:val="00A96568"/>
    <w:rsid w:val="00AA5A6A"/>
    <w:rsid w:val="00AC04BB"/>
    <w:rsid w:val="00AC19B6"/>
    <w:rsid w:val="00AC623E"/>
    <w:rsid w:val="00AC748B"/>
    <w:rsid w:val="00AD621D"/>
    <w:rsid w:val="00AE25B4"/>
    <w:rsid w:val="00AF419B"/>
    <w:rsid w:val="00AF4C7D"/>
    <w:rsid w:val="00AF69D4"/>
    <w:rsid w:val="00B00F87"/>
    <w:rsid w:val="00B02355"/>
    <w:rsid w:val="00B05BE6"/>
    <w:rsid w:val="00B06A49"/>
    <w:rsid w:val="00B176B7"/>
    <w:rsid w:val="00B178C1"/>
    <w:rsid w:val="00B25CC7"/>
    <w:rsid w:val="00B274A3"/>
    <w:rsid w:val="00B300DB"/>
    <w:rsid w:val="00B31147"/>
    <w:rsid w:val="00B32AB3"/>
    <w:rsid w:val="00B3453E"/>
    <w:rsid w:val="00B42265"/>
    <w:rsid w:val="00B527D7"/>
    <w:rsid w:val="00B57C01"/>
    <w:rsid w:val="00B6499D"/>
    <w:rsid w:val="00B72AE0"/>
    <w:rsid w:val="00B75509"/>
    <w:rsid w:val="00B755B4"/>
    <w:rsid w:val="00B77064"/>
    <w:rsid w:val="00B836E6"/>
    <w:rsid w:val="00B963FE"/>
    <w:rsid w:val="00BA099A"/>
    <w:rsid w:val="00BA20E7"/>
    <w:rsid w:val="00BA434A"/>
    <w:rsid w:val="00BA4DC1"/>
    <w:rsid w:val="00BB5FF4"/>
    <w:rsid w:val="00BB66B9"/>
    <w:rsid w:val="00BC4EE2"/>
    <w:rsid w:val="00BD1DF7"/>
    <w:rsid w:val="00BE3ABC"/>
    <w:rsid w:val="00BF3B3E"/>
    <w:rsid w:val="00C0453E"/>
    <w:rsid w:val="00C22763"/>
    <w:rsid w:val="00C26570"/>
    <w:rsid w:val="00C30862"/>
    <w:rsid w:val="00C3184F"/>
    <w:rsid w:val="00C340E6"/>
    <w:rsid w:val="00C36A9C"/>
    <w:rsid w:val="00C4134B"/>
    <w:rsid w:val="00C432D7"/>
    <w:rsid w:val="00C63B44"/>
    <w:rsid w:val="00C70E56"/>
    <w:rsid w:val="00C7658D"/>
    <w:rsid w:val="00C85C5D"/>
    <w:rsid w:val="00C87CC0"/>
    <w:rsid w:val="00C92791"/>
    <w:rsid w:val="00C93C63"/>
    <w:rsid w:val="00CA34A3"/>
    <w:rsid w:val="00CA3B50"/>
    <w:rsid w:val="00CB1D58"/>
    <w:rsid w:val="00CC7945"/>
    <w:rsid w:val="00CC79C5"/>
    <w:rsid w:val="00CD715A"/>
    <w:rsid w:val="00CF0054"/>
    <w:rsid w:val="00CF7DBD"/>
    <w:rsid w:val="00D10866"/>
    <w:rsid w:val="00D11374"/>
    <w:rsid w:val="00D11E97"/>
    <w:rsid w:val="00D2005A"/>
    <w:rsid w:val="00D2445A"/>
    <w:rsid w:val="00D41849"/>
    <w:rsid w:val="00D42FBA"/>
    <w:rsid w:val="00D44490"/>
    <w:rsid w:val="00D4532F"/>
    <w:rsid w:val="00D533D3"/>
    <w:rsid w:val="00D54284"/>
    <w:rsid w:val="00D60D4E"/>
    <w:rsid w:val="00D624A4"/>
    <w:rsid w:val="00D6764C"/>
    <w:rsid w:val="00D67C2D"/>
    <w:rsid w:val="00D708C8"/>
    <w:rsid w:val="00D73ECB"/>
    <w:rsid w:val="00D7724E"/>
    <w:rsid w:val="00D77419"/>
    <w:rsid w:val="00D93951"/>
    <w:rsid w:val="00DA0845"/>
    <w:rsid w:val="00DA157C"/>
    <w:rsid w:val="00DA7512"/>
    <w:rsid w:val="00DB406C"/>
    <w:rsid w:val="00DC35F4"/>
    <w:rsid w:val="00DC4683"/>
    <w:rsid w:val="00DD0D1C"/>
    <w:rsid w:val="00DE195A"/>
    <w:rsid w:val="00DE4CAD"/>
    <w:rsid w:val="00DE5828"/>
    <w:rsid w:val="00E02B47"/>
    <w:rsid w:val="00E05ABC"/>
    <w:rsid w:val="00E076B2"/>
    <w:rsid w:val="00E31035"/>
    <w:rsid w:val="00E32E14"/>
    <w:rsid w:val="00E52034"/>
    <w:rsid w:val="00E561C1"/>
    <w:rsid w:val="00E60ABA"/>
    <w:rsid w:val="00E64ADD"/>
    <w:rsid w:val="00E7087E"/>
    <w:rsid w:val="00E72061"/>
    <w:rsid w:val="00E73C55"/>
    <w:rsid w:val="00E81E6A"/>
    <w:rsid w:val="00E84E9B"/>
    <w:rsid w:val="00E86A58"/>
    <w:rsid w:val="00E9238B"/>
    <w:rsid w:val="00EA557F"/>
    <w:rsid w:val="00EA7488"/>
    <w:rsid w:val="00EB52AC"/>
    <w:rsid w:val="00EB6EC8"/>
    <w:rsid w:val="00EB7E8F"/>
    <w:rsid w:val="00EC342C"/>
    <w:rsid w:val="00EC6CE9"/>
    <w:rsid w:val="00ED3872"/>
    <w:rsid w:val="00ED3D1E"/>
    <w:rsid w:val="00ED46DC"/>
    <w:rsid w:val="00EF7AA2"/>
    <w:rsid w:val="00F01EAE"/>
    <w:rsid w:val="00F065C5"/>
    <w:rsid w:val="00F13D5B"/>
    <w:rsid w:val="00F14471"/>
    <w:rsid w:val="00F27126"/>
    <w:rsid w:val="00F31831"/>
    <w:rsid w:val="00F34D1B"/>
    <w:rsid w:val="00F35415"/>
    <w:rsid w:val="00F43E7B"/>
    <w:rsid w:val="00F4751D"/>
    <w:rsid w:val="00F47B64"/>
    <w:rsid w:val="00F73921"/>
    <w:rsid w:val="00F74968"/>
    <w:rsid w:val="00F86684"/>
    <w:rsid w:val="00F922E8"/>
    <w:rsid w:val="00F94FAE"/>
    <w:rsid w:val="00FA0663"/>
    <w:rsid w:val="00FA1B73"/>
    <w:rsid w:val="00FA2C93"/>
    <w:rsid w:val="00FA3010"/>
    <w:rsid w:val="00FA36BB"/>
    <w:rsid w:val="00FA75EC"/>
    <w:rsid w:val="00FB5D19"/>
    <w:rsid w:val="00FC79B0"/>
    <w:rsid w:val="00FE2B9C"/>
    <w:rsid w:val="00FE48E7"/>
    <w:rsid w:val="00FE6E6E"/>
    <w:rsid w:val="00FE74DF"/>
    <w:rsid w:val="00FE7ABB"/>
    <w:rsid w:val="00FF02C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310B6"/>
  <w15:docId w15:val="{6480FA4D-668A-4CAC-A6D0-95F89F21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3F2"/>
    <w:pPr>
      <w:spacing w:after="120" w:line="240" w:lineRule="auto"/>
      <w:ind w:left="-142"/>
      <w:jc w:val="both"/>
    </w:pPr>
    <w:rPr>
      <w:rFonts w:ascii="Arial" w:hAnsi="Arial" w:cs="Arial"/>
    </w:rPr>
  </w:style>
  <w:style w:type="paragraph" w:styleId="Heading1">
    <w:name w:val="heading 1"/>
    <w:basedOn w:val="ListParagraph"/>
    <w:next w:val="Normal"/>
    <w:link w:val="Heading1Char"/>
    <w:uiPriority w:val="9"/>
    <w:qFormat/>
    <w:rsid w:val="00613239"/>
    <w:pPr>
      <w:numPr>
        <w:numId w:val="1"/>
      </w:numPr>
      <w:spacing w:before="240"/>
      <w:ind w:left="-142" w:right="-612" w:hanging="425"/>
      <w:outlineLvl w:val="0"/>
    </w:pPr>
    <w:rPr>
      <w:b/>
      <w:sz w:val="24"/>
    </w:rPr>
  </w:style>
  <w:style w:type="paragraph" w:styleId="Heading2">
    <w:name w:val="heading 2"/>
    <w:basedOn w:val="Normal"/>
    <w:next w:val="Normal"/>
    <w:link w:val="Heading2Char"/>
    <w:unhideWhenUsed/>
    <w:qFormat/>
    <w:rsid w:val="000760A7"/>
    <w:pPr>
      <w:numPr>
        <w:ilvl w:val="1"/>
        <w:numId w:val="1"/>
      </w:numPr>
      <w:spacing w:before="240"/>
      <w:jc w:val="left"/>
      <w:outlineLvl w:val="1"/>
    </w:pPr>
    <w:rPr>
      <w:b/>
    </w:rPr>
  </w:style>
  <w:style w:type="paragraph" w:styleId="Heading3">
    <w:name w:val="heading 3"/>
    <w:basedOn w:val="ListParagraph"/>
    <w:next w:val="Normal"/>
    <w:link w:val="Heading3Char"/>
    <w:uiPriority w:val="9"/>
    <w:unhideWhenUsed/>
    <w:qFormat/>
    <w:rsid w:val="00722E86"/>
    <w:pPr>
      <w:numPr>
        <w:numId w:val="5"/>
      </w:numPr>
      <w:ind w:left="572" w:hanging="357"/>
      <w:jc w:val="left"/>
      <w:outlineLvl w:val="2"/>
    </w:pPr>
  </w:style>
  <w:style w:type="paragraph" w:styleId="Heading4">
    <w:name w:val="heading 4"/>
    <w:basedOn w:val="Normal"/>
    <w:next w:val="Normal"/>
    <w:link w:val="Heading4Char"/>
    <w:uiPriority w:val="9"/>
    <w:unhideWhenUsed/>
    <w:qFormat/>
    <w:rsid w:val="00AF4C7D"/>
    <w:pPr>
      <w:numPr>
        <w:ilvl w:val="2"/>
        <w:numId w:val="1"/>
      </w:numPr>
      <w:spacing w:before="120"/>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0D6"/>
    <w:pPr>
      <w:tabs>
        <w:tab w:val="center" w:pos="4513"/>
        <w:tab w:val="right" w:pos="9026"/>
      </w:tabs>
      <w:spacing w:after="0"/>
    </w:pPr>
  </w:style>
  <w:style w:type="character" w:customStyle="1" w:styleId="HeaderChar">
    <w:name w:val="Header Char"/>
    <w:basedOn w:val="DefaultParagraphFont"/>
    <w:link w:val="Header"/>
    <w:uiPriority w:val="99"/>
    <w:rsid w:val="000000D6"/>
  </w:style>
  <w:style w:type="paragraph" w:styleId="Footer">
    <w:name w:val="footer"/>
    <w:basedOn w:val="NoSpacing"/>
    <w:link w:val="FooterChar"/>
    <w:uiPriority w:val="99"/>
    <w:unhideWhenUsed/>
    <w:qFormat/>
    <w:rsid w:val="00FA0663"/>
    <w:pPr>
      <w:jc w:val="left"/>
    </w:pPr>
    <w:rPr>
      <w:sz w:val="14"/>
      <w:szCs w:val="14"/>
    </w:rPr>
  </w:style>
  <w:style w:type="character" w:customStyle="1" w:styleId="FooterChar">
    <w:name w:val="Footer Char"/>
    <w:basedOn w:val="DefaultParagraphFont"/>
    <w:link w:val="Footer"/>
    <w:uiPriority w:val="99"/>
    <w:rsid w:val="00FA0663"/>
    <w:rPr>
      <w:rFonts w:ascii="Arial" w:hAnsi="Arial" w:cs="Arial"/>
      <w:sz w:val="14"/>
      <w:szCs w:val="14"/>
    </w:rPr>
  </w:style>
  <w:style w:type="table" w:styleId="TableGrid">
    <w:name w:val="Table Grid"/>
    <w:basedOn w:val="TableNormal"/>
    <w:rsid w:val="0000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4C7D"/>
    <w:pPr>
      <w:ind w:firstLine="356"/>
    </w:pPr>
  </w:style>
  <w:style w:type="character" w:customStyle="1" w:styleId="Heading1Char">
    <w:name w:val="Heading 1 Char"/>
    <w:basedOn w:val="DefaultParagraphFont"/>
    <w:link w:val="Heading1"/>
    <w:uiPriority w:val="9"/>
    <w:rsid w:val="00613239"/>
    <w:rPr>
      <w:rFonts w:ascii="Arial" w:hAnsi="Arial" w:cs="Arial"/>
      <w:b/>
      <w:sz w:val="24"/>
    </w:rPr>
  </w:style>
  <w:style w:type="paragraph" w:styleId="NoSpacing">
    <w:name w:val="No Spacing"/>
    <w:uiPriority w:val="1"/>
    <w:rsid w:val="00F35415"/>
    <w:pPr>
      <w:spacing w:after="0" w:line="240" w:lineRule="auto"/>
      <w:ind w:left="31"/>
      <w:jc w:val="both"/>
    </w:pPr>
    <w:rPr>
      <w:rFonts w:ascii="Arial" w:hAnsi="Arial" w:cs="Arial"/>
      <w:szCs w:val="20"/>
    </w:rPr>
  </w:style>
  <w:style w:type="character" w:customStyle="1" w:styleId="Heading2Char">
    <w:name w:val="Heading 2 Char"/>
    <w:basedOn w:val="DefaultParagraphFont"/>
    <w:link w:val="Heading2"/>
    <w:uiPriority w:val="9"/>
    <w:rsid w:val="000760A7"/>
    <w:rPr>
      <w:rFonts w:ascii="Arial" w:hAnsi="Arial" w:cs="Arial"/>
      <w:b/>
    </w:rPr>
  </w:style>
  <w:style w:type="paragraph" w:styleId="BalloonText">
    <w:name w:val="Balloon Text"/>
    <w:basedOn w:val="Normal"/>
    <w:link w:val="BalloonTextChar"/>
    <w:uiPriority w:val="99"/>
    <w:semiHidden/>
    <w:unhideWhenUsed/>
    <w:rsid w:val="00D4449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90"/>
    <w:rPr>
      <w:rFonts w:ascii="Segoe UI" w:hAnsi="Segoe UI" w:cs="Segoe UI"/>
      <w:sz w:val="18"/>
      <w:szCs w:val="18"/>
    </w:rPr>
  </w:style>
  <w:style w:type="character" w:customStyle="1" w:styleId="Heading3Char">
    <w:name w:val="Heading 3 Char"/>
    <w:basedOn w:val="DefaultParagraphFont"/>
    <w:link w:val="Heading3"/>
    <w:uiPriority w:val="9"/>
    <w:rsid w:val="00722E86"/>
    <w:rPr>
      <w:rFonts w:ascii="Arial" w:hAnsi="Arial" w:cs="Arial"/>
    </w:rPr>
  </w:style>
  <w:style w:type="character" w:styleId="Hyperlink">
    <w:name w:val="Hyperlink"/>
    <w:basedOn w:val="DefaultParagraphFont"/>
    <w:uiPriority w:val="99"/>
    <w:unhideWhenUsed/>
    <w:rsid w:val="00512756"/>
    <w:rPr>
      <w:color w:val="0563C1" w:themeColor="hyperlink"/>
      <w:u w:val="single"/>
    </w:rPr>
  </w:style>
  <w:style w:type="character" w:styleId="FollowedHyperlink">
    <w:name w:val="FollowedHyperlink"/>
    <w:basedOn w:val="DefaultParagraphFont"/>
    <w:uiPriority w:val="99"/>
    <w:semiHidden/>
    <w:unhideWhenUsed/>
    <w:rsid w:val="006A3907"/>
    <w:rPr>
      <w:color w:val="954F72" w:themeColor="followedHyperlink"/>
      <w:u w:val="single"/>
    </w:rPr>
  </w:style>
  <w:style w:type="paragraph" w:customStyle="1" w:styleId="Table">
    <w:name w:val="Table"/>
    <w:basedOn w:val="Normal"/>
    <w:link w:val="TableChar"/>
    <w:qFormat/>
    <w:rsid w:val="00D11E97"/>
    <w:pPr>
      <w:keepNext/>
      <w:keepLines/>
      <w:spacing w:before="60" w:after="60"/>
      <w:ind w:left="0"/>
      <w:jc w:val="left"/>
    </w:pPr>
    <w:rPr>
      <w:rFonts w:eastAsia="Times New Roman" w:cs="Times New Roman"/>
      <w:bCs/>
      <w:sz w:val="20"/>
      <w:szCs w:val="20"/>
      <w:lang w:val="en-GB" w:eastAsia="en-AU"/>
    </w:rPr>
  </w:style>
  <w:style w:type="character" w:customStyle="1" w:styleId="TableChar">
    <w:name w:val="Table Char"/>
    <w:link w:val="Table"/>
    <w:rsid w:val="00D11E97"/>
    <w:rPr>
      <w:rFonts w:ascii="Arial" w:eastAsia="Times New Roman" w:hAnsi="Arial" w:cs="Times New Roman"/>
      <w:bCs/>
      <w:sz w:val="20"/>
      <w:szCs w:val="20"/>
      <w:lang w:val="en-GB" w:eastAsia="en-AU"/>
    </w:rPr>
  </w:style>
  <w:style w:type="paragraph" w:customStyle="1" w:styleId="Level3list">
    <w:name w:val="Level 3 list"/>
    <w:basedOn w:val="Normal"/>
    <w:link w:val="Level3listChar"/>
    <w:qFormat/>
    <w:rsid w:val="00920FF8"/>
    <w:pPr>
      <w:keepNext/>
      <w:keepLines/>
      <w:numPr>
        <w:numId w:val="3"/>
      </w:numPr>
      <w:autoSpaceDE w:val="0"/>
      <w:autoSpaceDN w:val="0"/>
      <w:adjustRightInd w:val="0"/>
      <w:jc w:val="left"/>
    </w:pPr>
    <w:rPr>
      <w:rFonts w:eastAsia="Times New Roman"/>
      <w:bCs/>
      <w:sz w:val="20"/>
      <w:szCs w:val="20"/>
      <w:lang w:val="en-US"/>
    </w:rPr>
  </w:style>
  <w:style w:type="character" w:customStyle="1" w:styleId="Level3listChar">
    <w:name w:val="Level 3 list Char"/>
    <w:link w:val="Level3list"/>
    <w:rsid w:val="00920FF8"/>
    <w:rPr>
      <w:rFonts w:ascii="Arial" w:eastAsia="Times New Roman" w:hAnsi="Arial" w:cs="Arial"/>
      <w:bCs/>
      <w:sz w:val="20"/>
      <w:szCs w:val="20"/>
      <w:lang w:val="en-US"/>
    </w:rPr>
  </w:style>
  <w:style w:type="paragraph" w:customStyle="1" w:styleId="Recitals">
    <w:name w:val="Recitals"/>
    <w:basedOn w:val="Normal"/>
    <w:rsid w:val="00B178C1"/>
    <w:pPr>
      <w:numPr>
        <w:numId w:val="4"/>
      </w:numPr>
      <w:autoSpaceDE w:val="0"/>
      <w:autoSpaceDN w:val="0"/>
      <w:adjustRightInd w:val="0"/>
      <w:spacing w:before="240"/>
      <w:jc w:val="left"/>
    </w:pPr>
    <w:rPr>
      <w:rFonts w:eastAsia="Times New Roman"/>
      <w:sz w:val="20"/>
      <w:szCs w:val="20"/>
      <w:lang w:val="en-GB" w:eastAsia="en-AU"/>
    </w:rPr>
  </w:style>
  <w:style w:type="paragraph" w:customStyle="1" w:styleId="Default">
    <w:name w:val="Default"/>
    <w:basedOn w:val="Normal"/>
    <w:rsid w:val="000F7042"/>
    <w:pPr>
      <w:autoSpaceDE w:val="0"/>
      <w:autoSpaceDN w:val="0"/>
      <w:spacing w:after="0"/>
      <w:ind w:left="0"/>
      <w:jc w:val="left"/>
    </w:pPr>
    <w:rPr>
      <w:color w:val="000000"/>
      <w:sz w:val="24"/>
      <w:szCs w:val="24"/>
      <w:lang w:eastAsia="en-AU"/>
    </w:rPr>
  </w:style>
  <w:style w:type="character" w:styleId="CommentReference">
    <w:name w:val="annotation reference"/>
    <w:basedOn w:val="DefaultParagraphFont"/>
    <w:uiPriority w:val="99"/>
    <w:semiHidden/>
    <w:unhideWhenUsed/>
    <w:rsid w:val="00066E9D"/>
    <w:rPr>
      <w:sz w:val="16"/>
      <w:szCs w:val="16"/>
    </w:rPr>
  </w:style>
  <w:style w:type="paragraph" w:styleId="CommentText">
    <w:name w:val="annotation text"/>
    <w:basedOn w:val="Normal"/>
    <w:link w:val="CommentTextChar"/>
    <w:uiPriority w:val="99"/>
    <w:semiHidden/>
    <w:unhideWhenUsed/>
    <w:rsid w:val="00066E9D"/>
    <w:rPr>
      <w:sz w:val="20"/>
      <w:szCs w:val="20"/>
    </w:rPr>
  </w:style>
  <w:style w:type="character" w:customStyle="1" w:styleId="CommentTextChar">
    <w:name w:val="Comment Text Char"/>
    <w:basedOn w:val="DefaultParagraphFont"/>
    <w:link w:val="CommentText"/>
    <w:uiPriority w:val="99"/>
    <w:semiHidden/>
    <w:rsid w:val="00066E9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66E9D"/>
    <w:rPr>
      <w:b/>
      <w:bCs/>
    </w:rPr>
  </w:style>
  <w:style w:type="character" w:customStyle="1" w:styleId="CommentSubjectChar">
    <w:name w:val="Comment Subject Char"/>
    <w:basedOn w:val="CommentTextChar"/>
    <w:link w:val="CommentSubject"/>
    <w:uiPriority w:val="99"/>
    <w:semiHidden/>
    <w:rsid w:val="00066E9D"/>
    <w:rPr>
      <w:rFonts w:ascii="Arial" w:hAnsi="Arial" w:cs="Arial"/>
      <w:b/>
      <w:bCs/>
      <w:sz w:val="20"/>
      <w:szCs w:val="20"/>
    </w:rPr>
  </w:style>
  <w:style w:type="character" w:customStyle="1" w:styleId="Heading4Char">
    <w:name w:val="Heading 4 Char"/>
    <w:basedOn w:val="DefaultParagraphFont"/>
    <w:link w:val="Heading4"/>
    <w:uiPriority w:val="9"/>
    <w:rsid w:val="00AF4C7D"/>
    <w:rPr>
      <w:rFonts w:ascii="Arial" w:hAnsi="Arial" w:cs="Arial"/>
      <w:b/>
      <w:i/>
    </w:rPr>
  </w:style>
  <w:style w:type="paragraph" w:styleId="Title">
    <w:name w:val="Title"/>
    <w:basedOn w:val="Header"/>
    <w:next w:val="Normal"/>
    <w:link w:val="TitleChar"/>
    <w:uiPriority w:val="10"/>
    <w:qFormat/>
    <w:rsid w:val="00FA0663"/>
    <w:pPr>
      <w:ind w:left="144"/>
      <w:jc w:val="center"/>
    </w:pPr>
    <w:rPr>
      <w:b/>
      <w:sz w:val="28"/>
    </w:rPr>
  </w:style>
  <w:style w:type="character" w:customStyle="1" w:styleId="TitleChar">
    <w:name w:val="Title Char"/>
    <w:basedOn w:val="DefaultParagraphFont"/>
    <w:link w:val="Title"/>
    <w:uiPriority w:val="10"/>
    <w:rsid w:val="00FA0663"/>
    <w:rPr>
      <w:rFonts w:ascii="Arial" w:hAnsi="Arial" w:cs="Arial"/>
      <w:b/>
      <w:sz w:val="28"/>
    </w:rPr>
  </w:style>
  <w:style w:type="paragraph" w:customStyle="1" w:styleId="Legislation">
    <w:name w:val="Legislation"/>
    <w:basedOn w:val="Normal"/>
    <w:link w:val="LegislationChar"/>
    <w:qFormat/>
    <w:rsid w:val="00FA0663"/>
    <w:pPr>
      <w:jc w:val="left"/>
    </w:pPr>
    <w:rPr>
      <w:i/>
    </w:rPr>
  </w:style>
  <w:style w:type="character" w:customStyle="1" w:styleId="LegislationChar">
    <w:name w:val="Legislation Char"/>
    <w:basedOn w:val="DefaultParagraphFont"/>
    <w:link w:val="Legislation"/>
    <w:rsid w:val="00FA0663"/>
    <w:rPr>
      <w:rFonts w:ascii="Arial" w:hAnsi="Arial" w:cs="Arial"/>
      <w:i/>
    </w:rPr>
  </w:style>
  <w:style w:type="paragraph" w:customStyle="1" w:styleId="Heading-PART">
    <w:name w:val="Heading - PART"/>
    <w:next w:val="Normal"/>
    <w:rsid w:val="006E0DB6"/>
    <w:p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caps/>
      <w:szCs w:val="20"/>
    </w:rPr>
  </w:style>
  <w:style w:type="paragraph" w:customStyle="1" w:styleId="Normal-Schedule">
    <w:name w:val="Normal - Schedule"/>
    <w:rsid w:val="006E0DB6"/>
    <w:pPr>
      <w:tabs>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570456"/>
    <w:pPr>
      <w:spacing w:before="100" w:beforeAutospacing="1" w:after="100" w:afterAutospacing="1"/>
      <w:ind w:left="0"/>
      <w:jc w:val="left"/>
    </w:pPr>
    <w:rPr>
      <w:rFonts w:ascii="Times New Roman" w:eastAsia="Times New Roman" w:hAnsi="Times New Roman" w:cs="Times New Roman"/>
      <w:sz w:val="24"/>
      <w:szCs w:val="24"/>
      <w:lang w:eastAsia="en-AU"/>
    </w:rPr>
  </w:style>
  <w:style w:type="paragraph" w:styleId="Revision">
    <w:name w:val="Revision"/>
    <w:hidden/>
    <w:uiPriority w:val="99"/>
    <w:semiHidden/>
    <w:rsid w:val="00002B54"/>
    <w:pPr>
      <w:spacing w:after="0" w:line="240" w:lineRule="auto"/>
    </w:pPr>
    <w:rPr>
      <w:rFonts w:ascii="Arial" w:hAnsi="Arial" w:cs="Arial"/>
    </w:rPr>
  </w:style>
  <w:style w:type="character" w:styleId="UnresolvedMention">
    <w:name w:val="Unresolved Mention"/>
    <w:basedOn w:val="DefaultParagraphFont"/>
    <w:uiPriority w:val="99"/>
    <w:semiHidden/>
    <w:unhideWhenUsed/>
    <w:rsid w:val="00471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17434">
      <w:bodyDiv w:val="1"/>
      <w:marLeft w:val="0"/>
      <w:marRight w:val="0"/>
      <w:marTop w:val="0"/>
      <w:marBottom w:val="0"/>
      <w:divBdr>
        <w:top w:val="none" w:sz="0" w:space="0" w:color="auto"/>
        <w:left w:val="none" w:sz="0" w:space="0" w:color="auto"/>
        <w:bottom w:val="none" w:sz="0" w:space="0" w:color="auto"/>
        <w:right w:val="none" w:sz="0" w:space="0" w:color="auto"/>
      </w:divBdr>
    </w:div>
    <w:div w:id="269552744">
      <w:bodyDiv w:val="1"/>
      <w:marLeft w:val="0"/>
      <w:marRight w:val="0"/>
      <w:marTop w:val="0"/>
      <w:marBottom w:val="0"/>
      <w:divBdr>
        <w:top w:val="none" w:sz="0" w:space="0" w:color="auto"/>
        <w:left w:val="none" w:sz="0" w:space="0" w:color="auto"/>
        <w:bottom w:val="none" w:sz="0" w:space="0" w:color="auto"/>
        <w:right w:val="none" w:sz="0" w:space="0" w:color="auto"/>
      </w:divBdr>
      <w:divsChild>
        <w:div w:id="1491797812">
          <w:marLeft w:val="418"/>
          <w:marRight w:val="0"/>
          <w:marTop w:val="0"/>
          <w:marBottom w:val="0"/>
          <w:divBdr>
            <w:top w:val="none" w:sz="0" w:space="0" w:color="auto"/>
            <w:left w:val="none" w:sz="0" w:space="0" w:color="auto"/>
            <w:bottom w:val="none" w:sz="0" w:space="0" w:color="auto"/>
            <w:right w:val="none" w:sz="0" w:space="0" w:color="auto"/>
          </w:divBdr>
        </w:div>
        <w:div w:id="563875096">
          <w:marLeft w:val="418"/>
          <w:marRight w:val="0"/>
          <w:marTop w:val="0"/>
          <w:marBottom w:val="0"/>
          <w:divBdr>
            <w:top w:val="none" w:sz="0" w:space="0" w:color="auto"/>
            <w:left w:val="none" w:sz="0" w:space="0" w:color="auto"/>
            <w:bottom w:val="none" w:sz="0" w:space="0" w:color="auto"/>
            <w:right w:val="none" w:sz="0" w:space="0" w:color="auto"/>
          </w:divBdr>
        </w:div>
        <w:div w:id="1268544108">
          <w:marLeft w:val="418"/>
          <w:marRight w:val="0"/>
          <w:marTop w:val="0"/>
          <w:marBottom w:val="0"/>
          <w:divBdr>
            <w:top w:val="none" w:sz="0" w:space="0" w:color="auto"/>
            <w:left w:val="none" w:sz="0" w:space="0" w:color="auto"/>
            <w:bottom w:val="none" w:sz="0" w:space="0" w:color="auto"/>
            <w:right w:val="none" w:sz="0" w:space="0" w:color="auto"/>
          </w:divBdr>
        </w:div>
        <w:div w:id="1370448142">
          <w:marLeft w:val="418"/>
          <w:marRight w:val="0"/>
          <w:marTop w:val="0"/>
          <w:marBottom w:val="0"/>
          <w:divBdr>
            <w:top w:val="none" w:sz="0" w:space="0" w:color="auto"/>
            <w:left w:val="none" w:sz="0" w:space="0" w:color="auto"/>
            <w:bottom w:val="none" w:sz="0" w:space="0" w:color="auto"/>
            <w:right w:val="none" w:sz="0" w:space="0" w:color="auto"/>
          </w:divBdr>
        </w:div>
        <w:div w:id="1964118019">
          <w:marLeft w:val="418"/>
          <w:marRight w:val="0"/>
          <w:marTop w:val="0"/>
          <w:marBottom w:val="0"/>
          <w:divBdr>
            <w:top w:val="none" w:sz="0" w:space="0" w:color="auto"/>
            <w:left w:val="none" w:sz="0" w:space="0" w:color="auto"/>
            <w:bottom w:val="none" w:sz="0" w:space="0" w:color="auto"/>
            <w:right w:val="none" w:sz="0" w:space="0" w:color="auto"/>
          </w:divBdr>
        </w:div>
        <w:div w:id="974683509">
          <w:marLeft w:val="418"/>
          <w:marRight w:val="0"/>
          <w:marTop w:val="0"/>
          <w:marBottom w:val="0"/>
          <w:divBdr>
            <w:top w:val="none" w:sz="0" w:space="0" w:color="auto"/>
            <w:left w:val="none" w:sz="0" w:space="0" w:color="auto"/>
            <w:bottom w:val="none" w:sz="0" w:space="0" w:color="auto"/>
            <w:right w:val="none" w:sz="0" w:space="0" w:color="auto"/>
          </w:divBdr>
        </w:div>
        <w:div w:id="920797293">
          <w:marLeft w:val="418"/>
          <w:marRight w:val="0"/>
          <w:marTop w:val="0"/>
          <w:marBottom w:val="0"/>
          <w:divBdr>
            <w:top w:val="none" w:sz="0" w:space="0" w:color="auto"/>
            <w:left w:val="none" w:sz="0" w:space="0" w:color="auto"/>
            <w:bottom w:val="none" w:sz="0" w:space="0" w:color="auto"/>
            <w:right w:val="none" w:sz="0" w:space="0" w:color="auto"/>
          </w:divBdr>
        </w:div>
        <w:div w:id="1562713490">
          <w:marLeft w:val="418"/>
          <w:marRight w:val="0"/>
          <w:marTop w:val="0"/>
          <w:marBottom w:val="0"/>
          <w:divBdr>
            <w:top w:val="none" w:sz="0" w:space="0" w:color="auto"/>
            <w:left w:val="none" w:sz="0" w:space="0" w:color="auto"/>
            <w:bottom w:val="none" w:sz="0" w:space="0" w:color="auto"/>
            <w:right w:val="none" w:sz="0" w:space="0" w:color="auto"/>
          </w:divBdr>
        </w:div>
        <w:div w:id="1474056902">
          <w:marLeft w:val="418"/>
          <w:marRight w:val="0"/>
          <w:marTop w:val="0"/>
          <w:marBottom w:val="0"/>
          <w:divBdr>
            <w:top w:val="none" w:sz="0" w:space="0" w:color="auto"/>
            <w:left w:val="none" w:sz="0" w:space="0" w:color="auto"/>
            <w:bottom w:val="none" w:sz="0" w:space="0" w:color="auto"/>
            <w:right w:val="none" w:sz="0" w:space="0" w:color="auto"/>
          </w:divBdr>
        </w:div>
      </w:divsChild>
    </w:div>
    <w:div w:id="301886701">
      <w:bodyDiv w:val="1"/>
      <w:marLeft w:val="0"/>
      <w:marRight w:val="0"/>
      <w:marTop w:val="0"/>
      <w:marBottom w:val="0"/>
      <w:divBdr>
        <w:top w:val="none" w:sz="0" w:space="0" w:color="auto"/>
        <w:left w:val="none" w:sz="0" w:space="0" w:color="auto"/>
        <w:bottom w:val="none" w:sz="0" w:space="0" w:color="auto"/>
        <w:right w:val="none" w:sz="0" w:space="0" w:color="auto"/>
      </w:divBdr>
    </w:div>
    <w:div w:id="469134659">
      <w:bodyDiv w:val="1"/>
      <w:marLeft w:val="0"/>
      <w:marRight w:val="0"/>
      <w:marTop w:val="0"/>
      <w:marBottom w:val="0"/>
      <w:divBdr>
        <w:top w:val="none" w:sz="0" w:space="0" w:color="auto"/>
        <w:left w:val="none" w:sz="0" w:space="0" w:color="auto"/>
        <w:bottom w:val="none" w:sz="0" w:space="0" w:color="auto"/>
        <w:right w:val="none" w:sz="0" w:space="0" w:color="auto"/>
      </w:divBdr>
    </w:div>
    <w:div w:id="492263878">
      <w:bodyDiv w:val="1"/>
      <w:marLeft w:val="0"/>
      <w:marRight w:val="0"/>
      <w:marTop w:val="0"/>
      <w:marBottom w:val="0"/>
      <w:divBdr>
        <w:top w:val="none" w:sz="0" w:space="0" w:color="auto"/>
        <w:left w:val="none" w:sz="0" w:space="0" w:color="auto"/>
        <w:bottom w:val="none" w:sz="0" w:space="0" w:color="auto"/>
        <w:right w:val="none" w:sz="0" w:space="0" w:color="auto"/>
      </w:divBdr>
    </w:div>
    <w:div w:id="792291677">
      <w:bodyDiv w:val="1"/>
      <w:marLeft w:val="0"/>
      <w:marRight w:val="0"/>
      <w:marTop w:val="0"/>
      <w:marBottom w:val="0"/>
      <w:divBdr>
        <w:top w:val="none" w:sz="0" w:space="0" w:color="auto"/>
        <w:left w:val="none" w:sz="0" w:space="0" w:color="auto"/>
        <w:bottom w:val="none" w:sz="0" w:space="0" w:color="auto"/>
        <w:right w:val="none" w:sz="0" w:space="0" w:color="auto"/>
      </w:divBdr>
    </w:div>
    <w:div w:id="798835690">
      <w:bodyDiv w:val="1"/>
      <w:marLeft w:val="0"/>
      <w:marRight w:val="0"/>
      <w:marTop w:val="0"/>
      <w:marBottom w:val="0"/>
      <w:divBdr>
        <w:top w:val="none" w:sz="0" w:space="0" w:color="auto"/>
        <w:left w:val="none" w:sz="0" w:space="0" w:color="auto"/>
        <w:bottom w:val="none" w:sz="0" w:space="0" w:color="auto"/>
        <w:right w:val="none" w:sz="0" w:space="0" w:color="auto"/>
      </w:divBdr>
    </w:div>
    <w:div w:id="1054163019">
      <w:bodyDiv w:val="1"/>
      <w:marLeft w:val="0"/>
      <w:marRight w:val="0"/>
      <w:marTop w:val="0"/>
      <w:marBottom w:val="0"/>
      <w:divBdr>
        <w:top w:val="none" w:sz="0" w:space="0" w:color="auto"/>
        <w:left w:val="none" w:sz="0" w:space="0" w:color="auto"/>
        <w:bottom w:val="none" w:sz="0" w:space="0" w:color="auto"/>
        <w:right w:val="none" w:sz="0" w:space="0" w:color="auto"/>
      </w:divBdr>
    </w:div>
    <w:div w:id="1151482216">
      <w:bodyDiv w:val="1"/>
      <w:marLeft w:val="0"/>
      <w:marRight w:val="0"/>
      <w:marTop w:val="0"/>
      <w:marBottom w:val="0"/>
      <w:divBdr>
        <w:top w:val="none" w:sz="0" w:space="0" w:color="auto"/>
        <w:left w:val="none" w:sz="0" w:space="0" w:color="auto"/>
        <w:bottom w:val="none" w:sz="0" w:space="0" w:color="auto"/>
        <w:right w:val="none" w:sz="0" w:space="0" w:color="auto"/>
      </w:divBdr>
    </w:div>
    <w:div w:id="1284113402">
      <w:bodyDiv w:val="1"/>
      <w:marLeft w:val="0"/>
      <w:marRight w:val="0"/>
      <w:marTop w:val="0"/>
      <w:marBottom w:val="0"/>
      <w:divBdr>
        <w:top w:val="none" w:sz="0" w:space="0" w:color="auto"/>
        <w:left w:val="none" w:sz="0" w:space="0" w:color="auto"/>
        <w:bottom w:val="none" w:sz="0" w:space="0" w:color="auto"/>
        <w:right w:val="none" w:sz="0" w:space="0" w:color="auto"/>
      </w:divBdr>
    </w:div>
    <w:div w:id="1348751031">
      <w:bodyDiv w:val="1"/>
      <w:marLeft w:val="0"/>
      <w:marRight w:val="0"/>
      <w:marTop w:val="0"/>
      <w:marBottom w:val="0"/>
      <w:divBdr>
        <w:top w:val="none" w:sz="0" w:space="0" w:color="auto"/>
        <w:left w:val="none" w:sz="0" w:space="0" w:color="auto"/>
        <w:bottom w:val="none" w:sz="0" w:space="0" w:color="auto"/>
        <w:right w:val="none" w:sz="0" w:space="0" w:color="auto"/>
      </w:divBdr>
    </w:div>
    <w:div w:id="1418747883">
      <w:bodyDiv w:val="1"/>
      <w:marLeft w:val="0"/>
      <w:marRight w:val="0"/>
      <w:marTop w:val="0"/>
      <w:marBottom w:val="0"/>
      <w:divBdr>
        <w:top w:val="none" w:sz="0" w:space="0" w:color="auto"/>
        <w:left w:val="none" w:sz="0" w:space="0" w:color="auto"/>
        <w:bottom w:val="none" w:sz="0" w:space="0" w:color="auto"/>
        <w:right w:val="none" w:sz="0" w:space="0" w:color="auto"/>
      </w:divBdr>
    </w:div>
    <w:div w:id="1552770751">
      <w:bodyDiv w:val="1"/>
      <w:marLeft w:val="0"/>
      <w:marRight w:val="0"/>
      <w:marTop w:val="0"/>
      <w:marBottom w:val="0"/>
      <w:divBdr>
        <w:top w:val="none" w:sz="0" w:space="0" w:color="auto"/>
        <w:left w:val="none" w:sz="0" w:space="0" w:color="auto"/>
        <w:bottom w:val="none" w:sz="0" w:space="0" w:color="auto"/>
        <w:right w:val="none" w:sz="0" w:space="0" w:color="auto"/>
      </w:divBdr>
    </w:div>
    <w:div w:id="1647782953">
      <w:bodyDiv w:val="1"/>
      <w:marLeft w:val="0"/>
      <w:marRight w:val="0"/>
      <w:marTop w:val="0"/>
      <w:marBottom w:val="0"/>
      <w:divBdr>
        <w:top w:val="none" w:sz="0" w:space="0" w:color="auto"/>
        <w:left w:val="none" w:sz="0" w:space="0" w:color="auto"/>
        <w:bottom w:val="none" w:sz="0" w:space="0" w:color="auto"/>
        <w:right w:val="none" w:sz="0" w:space="0" w:color="auto"/>
      </w:divBdr>
    </w:div>
    <w:div w:id="1657680386">
      <w:bodyDiv w:val="1"/>
      <w:marLeft w:val="0"/>
      <w:marRight w:val="0"/>
      <w:marTop w:val="0"/>
      <w:marBottom w:val="0"/>
      <w:divBdr>
        <w:top w:val="none" w:sz="0" w:space="0" w:color="auto"/>
        <w:left w:val="none" w:sz="0" w:space="0" w:color="auto"/>
        <w:bottom w:val="none" w:sz="0" w:space="0" w:color="auto"/>
        <w:right w:val="none" w:sz="0" w:space="0" w:color="auto"/>
      </w:divBdr>
    </w:div>
    <w:div w:id="1661076860">
      <w:bodyDiv w:val="1"/>
      <w:marLeft w:val="0"/>
      <w:marRight w:val="0"/>
      <w:marTop w:val="0"/>
      <w:marBottom w:val="0"/>
      <w:divBdr>
        <w:top w:val="none" w:sz="0" w:space="0" w:color="auto"/>
        <w:left w:val="none" w:sz="0" w:space="0" w:color="auto"/>
        <w:bottom w:val="none" w:sz="0" w:space="0" w:color="auto"/>
        <w:right w:val="none" w:sz="0" w:space="0" w:color="auto"/>
      </w:divBdr>
    </w:div>
    <w:div w:id="1830320282">
      <w:bodyDiv w:val="1"/>
      <w:marLeft w:val="0"/>
      <w:marRight w:val="0"/>
      <w:marTop w:val="0"/>
      <w:marBottom w:val="0"/>
      <w:divBdr>
        <w:top w:val="none" w:sz="0" w:space="0" w:color="auto"/>
        <w:left w:val="none" w:sz="0" w:space="0" w:color="auto"/>
        <w:bottom w:val="none" w:sz="0" w:space="0" w:color="auto"/>
        <w:right w:val="none" w:sz="0" w:space="0" w:color="auto"/>
      </w:divBdr>
    </w:div>
    <w:div w:id="1908807792">
      <w:bodyDiv w:val="1"/>
      <w:marLeft w:val="0"/>
      <w:marRight w:val="0"/>
      <w:marTop w:val="0"/>
      <w:marBottom w:val="0"/>
      <w:divBdr>
        <w:top w:val="none" w:sz="0" w:space="0" w:color="auto"/>
        <w:left w:val="none" w:sz="0" w:space="0" w:color="auto"/>
        <w:bottom w:val="none" w:sz="0" w:space="0" w:color="auto"/>
        <w:right w:val="none" w:sz="0" w:space="0" w:color="auto"/>
      </w:divBdr>
    </w:div>
    <w:div w:id="2031375547">
      <w:bodyDiv w:val="1"/>
      <w:marLeft w:val="0"/>
      <w:marRight w:val="0"/>
      <w:marTop w:val="0"/>
      <w:marBottom w:val="0"/>
      <w:divBdr>
        <w:top w:val="none" w:sz="0" w:space="0" w:color="auto"/>
        <w:left w:val="none" w:sz="0" w:space="0" w:color="auto"/>
        <w:bottom w:val="none" w:sz="0" w:space="0" w:color="auto"/>
        <w:right w:val="none" w:sz="0" w:space="0" w:color="auto"/>
      </w:divBdr>
      <w:divsChild>
        <w:div w:id="421337303">
          <w:marLeft w:val="0"/>
          <w:marRight w:val="0"/>
          <w:marTop w:val="0"/>
          <w:marBottom w:val="0"/>
          <w:divBdr>
            <w:top w:val="none" w:sz="0" w:space="0" w:color="auto"/>
            <w:left w:val="none" w:sz="0" w:space="0" w:color="auto"/>
            <w:bottom w:val="none" w:sz="0" w:space="0" w:color="auto"/>
            <w:right w:val="none" w:sz="0" w:space="0" w:color="auto"/>
          </w:divBdr>
          <w:divsChild>
            <w:div w:id="55315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ww.worksafe.vic.gov.au/resources/hazardous-substance-health-monitoring-report"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eader" Target="head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webstar/Documents.asp?ID=33177&amp;Title=OHS+Consultation+Communication+%26+Issue+Resolution+Procedure&amp;Type=f" TargetMode="External" Id="rId14" /><Relationship Type="http://schemas.openxmlformats.org/officeDocument/2006/relationships/customXml" Target="/customXML/item7.xml" Id="R07be335f0d894de0" /></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9676E22B47CC48CBA49BA16071DCFF24" version="1.0.0">
  <systemFields>
    <field name="Objective-Id">
      <value order="0">A12032744</value>
    </field>
    <field name="Objective-Title">
      <value order="0">Draft OHS Health Monitoring Procedure</value>
    </field>
    <field name="Objective-Description">
      <value order="0"/>
    </field>
    <field name="Objective-CreationStamp">
      <value order="0">2025-05-14T23:41:09Z</value>
    </field>
    <field name="Objective-IsApproved">
      <value order="0">false</value>
    </field>
    <field name="Objective-IsPublished">
      <value order="0">true</value>
    </field>
    <field name="Objective-DatePublished">
      <value order="0">2025-05-14T23:41:11Z</value>
    </field>
    <field name="Objective-ModificationStamp">
      <value order="0">2025-05-15T05:15:40Z</value>
    </field>
    <field name="Objective-Owner">
      <value order="0">Caroline Creedon</value>
    </field>
    <field name="Objective-Path">
      <value order="0">Objective Global Folder:..Community Relations:Internet and Intranet Management:The Source Weekly News 2025:The Source News 19 - 19 May 2025</value>
    </field>
    <field name="Objective-Parent">
      <value order="0">The Source News 19 - 19 May 2025</value>
    </field>
    <field name="Objective-State">
      <value order="0">Published</value>
    </field>
    <field name="Objective-VersionId">
      <value order="0">vA15177741</value>
    </field>
    <field name="Objective-Version">
      <value order="0">1.0</value>
    </field>
    <field name="Objective-VersionNumber">
      <value order="0">1</value>
    </field>
    <field name="Objective-VersionComment">
      <value order="0"/>
    </field>
    <field name="Objective-FileNumber">
      <value order="0">qA543046</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Description xmlns="c310ace7-f89c-44d5-99fa-6b52c97447e4">OHS Procedure Template [editable version] - Please save a copy of this template and edit the saved copy. </Document_x0020_Description>
    <jae5faa96b8e41a78ad1c43669c9ba50 xmlns="c310ace7-f89c-44d5-99fa-6b52c97447e4">
      <Terms xmlns="http://schemas.microsoft.com/office/infopath/2007/PartnerControls">
        <TermInfo xmlns="http://schemas.microsoft.com/office/infopath/2007/PartnerControls">
          <TermName xmlns="http://schemas.microsoft.com/office/infopath/2007/PartnerControls">Procedure</TermName>
          <TermId xmlns="http://schemas.microsoft.com/office/infopath/2007/PartnerControls">8cd848cf-f7da-45f2-a6a6-15103b4acee7</TermId>
        </TermInfo>
      </Terms>
    </jae5faa96b8e41a78ad1c43669c9ba50>
    <a1197785b44742b4bc7bb3ac060538ce xmlns="65429c50-6f73-4411-87e5-cc15fd22be79">
      <Terms xmlns="http://schemas.microsoft.com/office/infopath/2007/PartnerControls">
        <TermInfo xmlns="http://schemas.microsoft.com/office/infopath/2007/PartnerControls">
          <TermName xmlns="http://schemas.microsoft.com/office/infopath/2007/PartnerControls">Occupational health and safety</TermName>
          <TermId xmlns="http://schemas.microsoft.com/office/infopath/2007/PartnerControls">8a855785-a9d8-41ed-abe8-7444b9ace701</TermId>
        </TermInfo>
      </Terms>
    </a1197785b44742b4bc7bb3ac060538ce>
    <ndd2590629ef4d1c93be7aab923238e2 xmlns="c310ace7-f89c-44d5-99fa-6b52c97447e4">
      <Terms xmlns="http://schemas.microsoft.com/office/infopath/2007/PartnerControls">
        <TermInfo xmlns="http://schemas.microsoft.com/office/infopath/2007/PartnerControls">
          <TermName xmlns="http://schemas.microsoft.com/office/infopath/2007/PartnerControls">November</TermName>
          <TermId xmlns="http://schemas.microsoft.com/office/infopath/2007/PartnerControls">36c336c7-40e1-4d28-b23a-8570bb8f13c2</TermId>
        </TermInfo>
      </Terms>
    </ndd2590629ef4d1c93be7aab923238e2>
    <l025e88227844500ac5f4097bae4bafe xmlns="c310ace7-f89c-44d5-99fa-6b52c97447e4">
      <Terms xmlns="http://schemas.microsoft.com/office/infopath/2007/PartnerControls">
        <TermInfo xmlns="http://schemas.microsoft.com/office/infopath/2007/PartnerControls">
          <TermName xmlns="http://schemas.microsoft.com/office/infopath/2007/PartnerControls">2016</TermName>
          <TermId xmlns="http://schemas.microsoft.com/office/infopath/2007/PartnerControls">bf42225f-239e-4631-b48c-bc57fc2f4600</TermId>
        </TermInfo>
      </Terms>
    </l025e88227844500ac5f4097bae4bafe>
    <h79250fdf3104197ab04cf79d379418e xmlns="c310ace7-f89c-44d5-99fa-6b52c97447e4">
      <Terms xmlns="http://schemas.microsoft.com/office/infopath/2007/PartnerControls"/>
    </h79250fdf3104197ab04cf79d379418e>
    <TaxCatchAll xmlns="c310ace7-f89c-44d5-99fa-6b52c97447e4">
      <Value>237</Value>
      <Value>231</Value>
      <Value>59</Value>
      <Value>35</Value>
    </TaxCatchAll>
    <_x0069_u21 xmlns="65429c50-6f73-4411-87e5-cc15fd22be79" xsi:nil="true"/>
  </documentManagement>
</p:properties>
</file>

<file path=customXml/item2.xml><?xml version="1.0" encoding="utf-8"?>
<?mso-contentType ?>
<customXsn xmlns="http://schemas.microsoft.com/office/2006/metadata/customXsn">
  <xsnLocation/>
  <cached>True</cached>
  <openByDefault>True</openByDefault>
  <xsnScope>http://mavis/sites/Corporate</xsnScope>
</customXsn>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MAVIS Document" ma:contentTypeID="0x0101004375ACAB12C9184780480838A348EF9400F5BF76DCDA476F4EBFECE837615040BF" ma:contentTypeVersion="6" ma:contentTypeDescription="Create a new Blank document" ma:contentTypeScope="" ma:versionID="bb25da9a9c091dda94d91890ce59a92a">
  <xsd:schema xmlns:xsd="http://www.w3.org/2001/XMLSchema" xmlns:xs="http://www.w3.org/2001/XMLSchema" xmlns:p="http://schemas.microsoft.com/office/2006/metadata/properties" xmlns:ns2="c310ace7-f89c-44d5-99fa-6b52c97447e4" xmlns:ns3="65429c50-6f73-4411-87e5-cc15fd22be79" targetNamespace="http://schemas.microsoft.com/office/2006/metadata/properties" ma:root="true" ma:fieldsID="837d53e6bef4a59aa5f5c1a67610641e" ns2:_="" ns3:_="">
    <xsd:import namespace="c310ace7-f89c-44d5-99fa-6b52c97447e4"/>
    <xsd:import namespace="65429c50-6f73-4411-87e5-cc15fd22be79"/>
    <xsd:element name="properties">
      <xsd:complexType>
        <xsd:sequence>
          <xsd:element name="documentManagement">
            <xsd:complexType>
              <xsd:all>
                <xsd:element ref="ns2:Document_x0020_Description" minOccurs="0"/>
                <xsd:element ref="ns2:jae5faa96b8e41a78ad1c43669c9ba50" minOccurs="0"/>
                <xsd:element ref="ns2:TaxCatchAll" minOccurs="0"/>
                <xsd:element ref="ns2:ndd2590629ef4d1c93be7aab923238e2" minOccurs="0"/>
                <xsd:element ref="ns2:l025e88227844500ac5f4097bae4bafe" minOccurs="0"/>
                <xsd:element ref="ns2:h79250fdf3104197ab04cf79d379418e" minOccurs="0"/>
                <xsd:element ref="ns3:a1197785b44742b4bc7bb3ac060538ce" minOccurs="0"/>
                <xsd:element ref="ns3:_x0069_u2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0ace7-f89c-44d5-99fa-6b52c97447e4"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default="" ma:description="A textual description of the content and/or purpose of the resource." ma:internalName="Document_x0020_Description" ma:readOnly="false">
      <xsd:simpleType>
        <xsd:restriction base="dms:Note">
          <xsd:maxLength value="255"/>
        </xsd:restriction>
      </xsd:simpleType>
    </xsd:element>
    <xsd:element name="jae5faa96b8e41a78ad1c43669c9ba50" ma:index="13" ma:taxonomy="true" ma:internalName="jae5faa96b8e41a78ad1c43669c9ba50" ma:taxonomyFieldName="Doc_x0020_Type" ma:displayName="Doc Type" ma:readOnly="false" ma:default="" ma:fieldId="{3ae5faa9-6b8e-41a7-8ad1-c43669c9ba50}" ma:sspId="707edd6b-bcd8-4d82-9e36-5e836165b7db" ma:termSetId="34f10eaa-5417-4633-8775-0616c2ee193a"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053805e6-afa1-4afc-aa3a-0f57e22e3b39}" ma:internalName="TaxCatchAll" ma:showField="CatchAllData" ma:web="c310ace7-f89c-44d5-99fa-6b52c97447e4">
      <xsd:complexType>
        <xsd:complexContent>
          <xsd:extension base="dms:MultiChoiceLookup">
            <xsd:sequence>
              <xsd:element name="Value" type="dms:Lookup" maxOccurs="unbounded" minOccurs="0" nillable="true"/>
            </xsd:sequence>
          </xsd:extension>
        </xsd:complexContent>
      </xsd:complexType>
    </xsd:element>
    <xsd:element name="ndd2590629ef4d1c93be7aab923238e2" ma:index="15" nillable="true" ma:taxonomy="true" ma:internalName="ndd2590629ef4d1c93be7aab923238e2" ma:taxonomyFieldName="Month" ma:displayName="Month" ma:readOnly="false" ma:default="" ma:fieldId="{7dd25906-29ef-4d1c-93be-7aab923238e2}" ma:sspId="707edd6b-bcd8-4d82-9e36-5e836165b7db" ma:termSetId="93d674fd-138a-4c5d-b264-c0eb5d48ff27" ma:anchorId="00000000-0000-0000-0000-000000000000" ma:open="false" ma:isKeyword="false">
      <xsd:complexType>
        <xsd:sequence>
          <xsd:element ref="pc:Terms" minOccurs="0" maxOccurs="1"/>
        </xsd:sequence>
      </xsd:complexType>
    </xsd:element>
    <xsd:element name="l025e88227844500ac5f4097bae4bafe" ma:index="16" nillable="true" ma:taxonomy="true" ma:internalName="l025e88227844500ac5f4097bae4bafe" ma:taxonomyFieldName="Year" ma:displayName="Year" ma:readOnly="false" ma:default="" ma:fieldId="{5025e882-2784-4500-ac5f-4097bae4bafe}" ma:sspId="707edd6b-bcd8-4d82-9e36-5e836165b7db" ma:termSetId="aaffa071-a142-4ca5-b031-c794790264a6" ma:anchorId="00000000-0000-0000-0000-000000000000" ma:open="false" ma:isKeyword="false">
      <xsd:complexType>
        <xsd:sequence>
          <xsd:element ref="pc:Terms" minOccurs="0" maxOccurs="1"/>
        </xsd:sequence>
      </xsd:complexType>
    </xsd:element>
    <xsd:element name="h79250fdf3104197ab04cf79d379418e" ma:index="17" nillable="true" ma:taxonomy="true" ma:internalName="h79250fdf3104197ab04cf79d379418e" ma:taxonomyFieldName="Topic" ma:displayName="Topic" ma:readOnly="false" ma:default="" ma:fieldId="{179250fd-f310-4197-ab04-cf79d379418e}" ma:sspId="707edd6b-bcd8-4d82-9e36-5e836165b7db" ma:termSetId="41c7ede2-9c1a-429f-a2e9-76c737bbbea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429c50-6f73-4411-87e5-cc15fd22be79" elementFormDefault="qualified">
    <xsd:import namespace="http://schemas.microsoft.com/office/2006/documentManagement/types"/>
    <xsd:import namespace="http://schemas.microsoft.com/office/infopath/2007/PartnerControls"/>
    <xsd:element name="a1197785b44742b4bc7bb3ac060538ce" ma:index="19" ma:taxonomy="true" ma:internalName="a1197785b44742b4bc7bb3ac060538ce" ma:taxonomyFieldName="Function" ma:displayName="Function" ma:default="" ma:fieldId="{a1197785-b447-42b4-bc7b-b3ac060538ce}" ma:sspId="707edd6b-bcd8-4d82-9e36-5e836165b7db" ma:termSetId="1be38e8c-3054-4a1e-9eea-ab3bad4fff97" ma:anchorId="00000000-0000-0000-0000-000000000000" ma:open="false" ma:isKeyword="false">
      <xsd:complexType>
        <xsd:sequence>
          <xsd:element ref="pc:Terms" minOccurs="0" maxOccurs="1"/>
        </xsd:sequence>
      </xsd:complexType>
    </xsd:element>
    <xsd:element name="_x0069_u21" ma:index="20" nillable="true" ma:displayName="Date and Time" ma:internalName="_x0069_u21">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09FE95-80C8-4DDF-8EA1-F89A5826B1BC}">
  <ds:schemaRefs>
    <ds:schemaRef ds:uri="http://schemas.microsoft.com/office/2006/metadata/properties"/>
    <ds:schemaRef ds:uri="http://schemas.microsoft.com/office/infopath/2007/PartnerControls"/>
    <ds:schemaRef ds:uri="c310ace7-f89c-44d5-99fa-6b52c97447e4"/>
    <ds:schemaRef ds:uri="65429c50-6f73-4411-87e5-cc15fd22be79"/>
  </ds:schemaRefs>
</ds:datastoreItem>
</file>

<file path=customXml/itemProps2.xml><?xml version="1.0" encoding="utf-8"?>
<ds:datastoreItem xmlns:ds="http://schemas.openxmlformats.org/officeDocument/2006/customXml" ds:itemID="{DF7BC44C-ECBC-41EB-ABAB-CF27DF811D5D}">
  <ds:schemaRefs>
    <ds:schemaRef ds:uri="http://schemas.microsoft.com/office/2006/metadata/customXsn"/>
  </ds:schemaRefs>
</ds:datastoreItem>
</file>

<file path=customXml/itemProps3.xml><?xml version="1.0" encoding="utf-8"?>
<ds:datastoreItem xmlns:ds="http://schemas.openxmlformats.org/officeDocument/2006/customXml" ds:itemID="{0104016A-9B16-47BE-9F8E-DDEDBB451402}">
  <ds:schemaRefs>
    <ds:schemaRef ds:uri="http://schemas.openxmlformats.org/officeDocument/2006/bibliography"/>
  </ds:schemaRefs>
</ds:datastoreItem>
</file>

<file path=customXml/itemProps4.xml><?xml version="1.0" encoding="utf-8"?>
<ds:datastoreItem xmlns:ds="http://schemas.openxmlformats.org/officeDocument/2006/customXml" ds:itemID="{28A0B5AE-9F82-4280-BC08-C4B1323E46F8}">
  <ds:schemaRefs>
    <ds:schemaRef ds:uri="http://schemas.microsoft.com/sharepoint/v3/contenttype/forms"/>
  </ds:schemaRefs>
</ds:datastoreItem>
</file>

<file path=customXml/itemProps6.xml><?xml version="1.0" encoding="utf-8"?>
<ds:datastoreItem xmlns:ds="http://schemas.openxmlformats.org/officeDocument/2006/customXml" ds:itemID="{10C934E4-B525-4B2D-ACAE-6AB9E793B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0ace7-f89c-44d5-99fa-6b52c97447e4"/>
    <ds:schemaRef ds:uri="65429c50-6f73-4411-87e5-cc15fd22b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1161</Words>
  <Characters>6618</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OHS-FOR-3.8.03 OHS Procedure Template [editable version]</vt:lpstr>
    </vt:vector>
  </TitlesOfParts>
  <Company>Jardine Lloyd Thompson Pty Ltd</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OHS-FOR-3.8.03 OHS Procedure Template [editable version]</dc:title>
  <dc:creator>MAV WorkCare</dc:creator>
  <cp:lastModifiedBy>Caroline Creedon</cp:lastModifiedBy>
  <cp:revision>2</cp:revision>
  <cp:lastPrinted>2017-11-15T00:17:00Z</cp:lastPrinted>
  <dcterms:created xsi:type="dcterms:W3CDTF">2025-05-15T00:33:00Z</dcterms:created>
  <dcterms:modified xsi:type="dcterms:W3CDTF">2025-05-15T00:33:00Z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Description">
    <vt:lpwstr>OHS - Risk Management Procedure </vt:lpwstr>
  </property>
  <property fmtid="{D5CDD505-2E9C-101B-9397-08002B2CF9AE}" pid="3" name="jae5faa96b8e41a78ad1c43669c9ba50">
    <vt:lpwstr>Procedure|8cd848cf-f7da-45f2-a6a6-15103b4acee7</vt:lpwstr>
  </property>
  <property fmtid="{D5CDD505-2E9C-101B-9397-08002B2CF9AE}" pid="4" name="Doc Type">
    <vt:lpwstr>35;#Procedure|8cd848cf-f7da-45f2-a6a6-15103b4acee7</vt:lpwstr>
  </property>
  <property fmtid="{D5CDD505-2E9C-101B-9397-08002B2CF9AE}" pid="5" name="a1197785b44742b4bc7bb3ac060538ce">
    <vt:lpwstr>Occupational health and safety|8a855785-a9d8-41ed-abe8-7444b9ace701</vt:lpwstr>
  </property>
  <property fmtid="{D5CDD505-2E9C-101B-9397-08002B2CF9AE}" pid="6" name="Function">
    <vt:lpwstr>231;#Occupational health and safety|8a855785-a9d8-41ed-abe8-7444b9ace701</vt:lpwstr>
  </property>
  <property fmtid="{D5CDD505-2E9C-101B-9397-08002B2CF9AE}" pid="7" name="ndd2590629ef4d1c93be7aab923238e2">
    <vt:lpwstr>November|36c336c7-40e1-4d28-b23a-8570bb8f13c2</vt:lpwstr>
  </property>
  <property fmtid="{D5CDD505-2E9C-101B-9397-08002B2CF9AE}" pid="8" name="Month">
    <vt:lpwstr>59;#November|36c336c7-40e1-4d28-b23a-8570bb8f13c2</vt:lpwstr>
  </property>
  <property fmtid="{D5CDD505-2E9C-101B-9397-08002B2CF9AE}" pid="9" name="l025e88227844500ac5f4097bae4bafe">
    <vt:lpwstr>2016|bf42225f-239e-4631-b48c-bc57fc2f4600</vt:lpwstr>
  </property>
  <property fmtid="{D5CDD505-2E9C-101B-9397-08002B2CF9AE}" pid="10" name="Year">
    <vt:lpwstr>237;#2016|bf42225f-239e-4631-b48c-bc57fc2f4600</vt:lpwstr>
  </property>
  <property fmtid="{D5CDD505-2E9C-101B-9397-08002B2CF9AE}" pid="11" name="h79250fdf3104197ab04cf79d379418e">
    <vt:lpwstr/>
  </property>
  <property fmtid="{D5CDD505-2E9C-101B-9397-08002B2CF9AE}" pid="12" name="Topic">
    <vt:lpwstr/>
  </property>
  <property fmtid="{D5CDD505-2E9C-101B-9397-08002B2CF9AE}" pid="13" name="Created">
    <vt:lpwstr/>
  </property>
  <property fmtid="{D5CDD505-2E9C-101B-9397-08002B2CF9AE}" pid="14" name="Modified By">
    <vt:lpwstr/>
  </property>
  <property fmtid="{D5CDD505-2E9C-101B-9397-08002B2CF9AE}" pid="15" name="Created By">
    <vt:lpwstr/>
  </property>
  <property fmtid="{D5CDD505-2E9C-101B-9397-08002B2CF9AE}" pid="16" name="Modified">
    <vt:lpwstr/>
  </property>
  <property fmtid="{D5CDD505-2E9C-101B-9397-08002B2CF9AE}" pid="17" name="TaxCatchAll">
    <vt:lpwstr/>
  </property>
  <property fmtid="{D5CDD505-2E9C-101B-9397-08002B2CF9AE}" pid="18" name="iu21">
    <vt:lpwstr/>
  </property>
  <property fmtid="{D5CDD505-2E9C-101B-9397-08002B2CF9AE}" pid="19" name="ContentTypeId">
    <vt:lpwstr>0x0101004375ACAB12C9184780480838A348EF9400F5BF76DCDA476F4EBFECE837615040BF</vt:lpwstr>
  </property>
  <property fmtid="{D5CDD505-2E9C-101B-9397-08002B2CF9AE}" pid="20" name="Objective-Id">
    <vt:lpwstr>A12032744</vt:lpwstr>
  </property>
  <property fmtid="{D5CDD505-2E9C-101B-9397-08002B2CF9AE}" pid="21" name="Objective-Title">
    <vt:lpwstr>Draft OHS Health Monitoring Procedure</vt:lpwstr>
  </property>
  <property fmtid="{D5CDD505-2E9C-101B-9397-08002B2CF9AE}" pid="22" name="Objective-Description">
    <vt:lpwstr/>
  </property>
  <property fmtid="{D5CDD505-2E9C-101B-9397-08002B2CF9AE}" pid="23" name="Objective-CreationStamp">
    <vt:filetime>2025-05-14T23:41:09Z</vt:filetime>
  </property>
  <property fmtid="{D5CDD505-2E9C-101B-9397-08002B2CF9AE}" pid="24" name="Objective-IsApproved">
    <vt:bool>false</vt:bool>
  </property>
  <property fmtid="{D5CDD505-2E9C-101B-9397-08002B2CF9AE}" pid="25" name="Objective-IsPublished">
    <vt:bool>true</vt:bool>
  </property>
  <property fmtid="{D5CDD505-2E9C-101B-9397-08002B2CF9AE}" pid="26" name="Objective-DatePublished">
    <vt:filetime>2025-05-14T23:41:11Z</vt:filetime>
  </property>
  <property fmtid="{D5CDD505-2E9C-101B-9397-08002B2CF9AE}" pid="27" name="Objective-ModificationStamp">
    <vt:filetime>2025-05-15T05:15:40Z</vt:filetime>
  </property>
  <property fmtid="{D5CDD505-2E9C-101B-9397-08002B2CF9AE}" pid="28" name="Objective-Owner">
    <vt:lpwstr>Caroline Creedon</vt:lpwstr>
  </property>
  <property fmtid="{D5CDD505-2E9C-101B-9397-08002B2CF9AE}" pid="29" name="Objective-Path">
    <vt:lpwstr>Objective Global Folder:..Community Relations:Internet and Intranet Management:The Source Weekly News 2025:The Source News 19 - 19 May 2025</vt:lpwstr>
  </property>
  <property fmtid="{D5CDD505-2E9C-101B-9397-08002B2CF9AE}" pid="30" name="Objective-Parent">
    <vt:lpwstr>The Source News 19 - 19 May 2025</vt:lpwstr>
  </property>
  <property fmtid="{D5CDD505-2E9C-101B-9397-08002B2CF9AE}" pid="31" name="Objective-State">
    <vt:lpwstr>Published</vt:lpwstr>
  </property>
  <property fmtid="{D5CDD505-2E9C-101B-9397-08002B2CF9AE}" pid="32" name="Objective-VersionId">
    <vt:lpwstr>vA15177741</vt:lpwstr>
  </property>
  <property fmtid="{D5CDD505-2E9C-101B-9397-08002B2CF9AE}" pid="33" name="Objective-Version">
    <vt:lpwstr>1.0</vt:lpwstr>
  </property>
  <property fmtid="{D5CDD505-2E9C-101B-9397-08002B2CF9AE}" pid="34" name="Objective-VersionNumber">
    <vt:r8>1</vt:r8>
  </property>
  <property fmtid="{D5CDD505-2E9C-101B-9397-08002B2CF9AE}" pid="35" name="Objective-VersionComment">
    <vt:lpwstr/>
  </property>
  <property fmtid="{D5CDD505-2E9C-101B-9397-08002B2CF9AE}" pid="36" name="Objective-FileNumber">
    <vt:lpwstr>qA543046</vt:lpwstr>
  </property>
  <property fmtid="{D5CDD505-2E9C-101B-9397-08002B2CF9AE}" pid="37" name="Objective-Classification">
    <vt:lpwstr/>
  </property>
  <property fmtid="{D5CDD505-2E9C-101B-9397-08002B2CF9AE}" pid="38" name="Objective-Caveats">
    <vt:lpwstr/>
  </property>
  <property fmtid="{D5CDD505-2E9C-101B-9397-08002B2CF9AE}" pid="39" name="Objective-Business Unit">
    <vt:lpwstr/>
  </property>
  <property fmtid="{D5CDD505-2E9C-101B-9397-08002B2CF9AE}" pid="40" name="Objective-Corporate Document Type">
    <vt:lpwstr/>
  </property>
  <property fmtid="{D5CDD505-2E9C-101B-9397-08002B2CF9AE}" pid="41" name="Objective-Records Audit Date">
    <vt:lpwstr/>
  </property>
  <property fmtid="{D5CDD505-2E9C-101B-9397-08002B2CF9AE}" pid="42" name="Objective-Records Audit Vital Record">
    <vt:lpwstr/>
  </property>
  <property fmtid="{D5CDD505-2E9C-101B-9397-08002B2CF9AE}" pid="43" name="Objective-Comment">
    <vt:lpwstr/>
  </property>
  <property fmtid="{D5CDD505-2E9C-101B-9397-08002B2CF9AE}" pid="44" name="Objective-Business Unit [system]">
    <vt:lpwstr>Health &amp; Safety</vt:lpwstr>
  </property>
  <property fmtid="{D5CDD505-2E9C-101B-9397-08002B2CF9AE}" pid="45" name="Objective-Corporate Document Type [system]">
    <vt:lpwstr/>
  </property>
  <property fmtid="{D5CDD505-2E9C-101B-9397-08002B2CF9AE}" pid="46" name="Objective-Records Audit Vital Record [system]">
    <vt:lpwstr/>
  </property>
  <property fmtid="{D5CDD505-2E9C-101B-9397-08002B2CF9AE}" pid="47" name="Objective-Records Audit Date [system]">
    <vt:lpwstr/>
  </property>
  <property fmtid="{D5CDD505-2E9C-101B-9397-08002B2CF9AE}" pid="48" name="Objective-Connect Creator">
    <vt:lpwstr/>
  </property>
  <property fmtid="{D5CDD505-2E9C-101B-9397-08002B2CF9AE}" pid="49" name="Objective-Bulk Update Status">
    <vt:lpwstr/>
  </property>
</Properties>
</file>