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3D062" w14:textId="05D8C85A" w:rsidR="008041DE" w:rsidRDefault="0046128E" w:rsidP="008041DE">
      <w:pPr>
        <w:pStyle w:val="Heading1"/>
      </w:pPr>
      <w:r>
        <w:t>CPI</w:t>
      </w:r>
    </w:p>
    <w:p w14:paraId="72CE7462" w14:textId="77777777" w:rsidR="00F70292" w:rsidRPr="00F70292" w:rsidRDefault="00F70292" w:rsidP="008303B9">
      <w:pPr>
        <w:spacing w:after="0"/>
      </w:pPr>
    </w:p>
    <w:tbl>
      <w:tblPr>
        <w:tblStyle w:val="TableGrid"/>
        <w:tblW w:w="8359" w:type="dxa"/>
        <w:tblLook w:val="04A0" w:firstRow="1" w:lastRow="0" w:firstColumn="1" w:lastColumn="0" w:noHBand="0" w:noVBand="1"/>
      </w:tblPr>
      <w:tblGrid>
        <w:gridCol w:w="2786"/>
        <w:gridCol w:w="1393"/>
        <w:gridCol w:w="1393"/>
        <w:gridCol w:w="2787"/>
      </w:tblGrid>
      <w:tr w:rsidR="00091955" w:rsidRPr="000D5AF0" w14:paraId="0CB64A97" w14:textId="20B249ED" w:rsidTr="00091955">
        <w:tc>
          <w:tcPr>
            <w:tcW w:w="4179" w:type="dxa"/>
            <w:gridSpan w:val="2"/>
            <w:vAlign w:val="center"/>
          </w:tcPr>
          <w:p w14:paraId="44E8BF7A" w14:textId="772DBC7B" w:rsidR="00091955" w:rsidRPr="000D5AF0" w:rsidRDefault="00091955" w:rsidP="00F70292">
            <w:pPr>
              <w:pStyle w:val="Heading1"/>
              <w:spacing w:after="0"/>
              <w:rPr>
                <w:b w:val="0"/>
                <w:bCs w:val="0"/>
                <w:sz w:val="22"/>
                <w:szCs w:val="22"/>
              </w:rPr>
            </w:pPr>
            <w:r w:rsidRPr="000D5AF0">
              <w:rPr>
                <w:sz w:val="22"/>
                <w:szCs w:val="22"/>
              </w:rPr>
              <w:t>Quick Reference Guide No.</w:t>
            </w:r>
          </w:p>
        </w:tc>
        <w:tc>
          <w:tcPr>
            <w:tcW w:w="4180" w:type="dxa"/>
            <w:gridSpan w:val="2"/>
          </w:tcPr>
          <w:p w14:paraId="72CABF58" w14:textId="17C98013" w:rsidR="00091955" w:rsidRPr="000D5AF0" w:rsidRDefault="00091955" w:rsidP="00F70292">
            <w:pPr>
              <w:pStyle w:val="Heading1"/>
              <w:spacing w:after="0"/>
              <w:rPr>
                <w:b w:val="0"/>
                <w:bCs w:val="0"/>
                <w:sz w:val="22"/>
                <w:szCs w:val="22"/>
              </w:rPr>
            </w:pPr>
            <w:r w:rsidRPr="000D5AF0">
              <w:rPr>
                <w:b w:val="0"/>
                <w:bCs w:val="0"/>
                <w:sz w:val="22"/>
                <w:szCs w:val="22"/>
              </w:rPr>
              <w:t>QRG-</w:t>
            </w:r>
          </w:p>
        </w:tc>
      </w:tr>
      <w:tr w:rsidR="00091955" w:rsidRPr="000D5AF0" w14:paraId="327B02F4" w14:textId="77777777" w:rsidTr="00091955">
        <w:tc>
          <w:tcPr>
            <w:tcW w:w="4179" w:type="dxa"/>
            <w:gridSpan w:val="2"/>
            <w:vAlign w:val="center"/>
          </w:tcPr>
          <w:p w14:paraId="0706B25C" w14:textId="4F27CCF4" w:rsidR="00091955" w:rsidRPr="000D5AF0" w:rsidRDefault="00091955" w:rsidP="00F70292">
            <w:pPr>
              <w:pStyle w:val="Heading1"/>
              <w:spacing w:after="0"/>
              <w:rPr>
                <w:b w:val="0"/>
                <w:bCs w:val="0"/>
                <w:sz w:val="22"/>
                <w:szCs w:val="22"/>
              </w:rPr>
            </w:pPr>
            <w:r w:rsidRPr="000D5AF0">
              <w:rPr>
                <w:sz w:val="22"/>
                <w:szCs w:val="22"/>
              </w:rPr>
              <w:t>Quick Reference Guide Name</w:t>
            </w:r>
          </w:p>
        </w:tc>
        <w:tc>
          <w:tcPr>
            <w:tcW w:w="4180" w:type="dxa"/>
            <w:gridSpan w:val="2"/>
          </w:tcPr>
          <w:p w14:paraId="32639C96" w14:textId="5A0BF8E7" w:rsidR="00091955" w:rsidRPr="000D5AF0" w:rsidRDefault="0046128E" w:rsidP="00F70292">
            <w:pPr>
              <w:pStyle w:val="Heading1"/>
              <w:spacing w:after="0"/>
              <w:rPr>
                <w:b w:val="0"/>
                <w:bCs w:val="0"/>
                <w:sz w:val="22"/>
                <w:szCs w:val="22"/>
              </w:rPr>
            </w:pPr>
            <w:r>
              <w:rPr>
                <w:b w:val="0"/>
                <w:bCs w:val="0"/>
                <w:sz w:val="22"/>
                <w:szCs w:val="22"/>
              </w:rPr>
              <w:t>CPI</w:t>
            </w:r>
          </w:p>
        </w:tc>
      </w:tr>
      <w:tr w:rsidR="00091955" w:rsidRPr="000D5AF0" w14:paraId="2E55CC66" w14:textId="25157153" w:rsidTr="00091955">
        <w:tc>
          <w:tcPr>
            <w:tcW w:w="4179" w:type="dxa"/>
            <w:gridSpan w:val="2"/>
            <w:vAlign w:val="center"/>
          </w:tcPr>
          <w:p w14:paraId="28043EA8" w14:textId="47F53497" w:rsidR="00091955" w:rsidRPr="000D5AF0" w:rsidRDefault="00091955" w:rsidP="00F70292">
            <w:pPr>
              <w:pStyle w:val="Heading1"/>
              <w:spacing w:after="0"/>
              <w:rPr>
                <w:b w:val="0"/>
                <w:bCs w:val="0"/>
                <w:sz w:val="22"/>
                <w:szCs w:val="22"/>
              </w:rPr>
            </w:pPr>
            <w:r w:rsidRPr="000D5AF0">
              <w:rPr>
                <w:sz w:val="22"/>
                <w:szCs w:val="22"/>
              </w:rPr>
              <w:t>Quick Reference Guide Owner</w:t>
            </w:r>
          </w:p>
        </w:tc>
        <w:tc>
          <w:tcPr>
            <w:tcW w:w="4180" w:type="dxa"/>
            <w:gridSpan w:val="2"/>
          </w:tcPr>
          <w:p w14:paraId="42A939D8" w14:textId="26F53523" w:rsidR="00091955" w:rsidRPr="000D5AF0" w:rsidRDefault="00091955" w:rsidP="00F70292">
            <w:pPr>
              <w:pStyle w:val="Heading1"/>
              <w:spacing w:after="0"/>
              <w:rPr>
                <w:b w:val="0"/>
                <w:bCs w:val="0"/>
                <w:sz w:val="22"/>
                <w:szCs w:val="22"/>
              </w:rPr>
            </w:pPr>
            <w:r w:rsidRPr="000D5AF0">
              <w:rPr>
                <w:b w:val="0"/>
                <w:bCs w:val="0"/>
                <w:sz w:val="22"/>
                <w:szCs w:val="22"/>
              </w:rPr>
              <w:t>Procurement Manager</w:t>
            </w:r>
          </w:p>
        </w:tc>
      </w:tr>
      <w:tr w:rsidR="00091955" w:rsidRPr="000D5AF0" w14:paraId="798A8101" w14:textId="77777777" w:rsidTr="00091955">
        <w:trPr>
          <w:trHeight w:val="218"/>
        </w:trPr>
        <w:tc>
          <w:tcPr>
            <w:tcW w:w="8359" w:type="dxa"/>
            <w:gridSpan w:val="4"/>
            <w:shd w:val="clear" w:color="auto" w:fill="F2F2F2" w:themeFill="background1" w:themeFillShade="F2"/>
          </w:tcPr>
          <w:p w14:paraId="386E4644" w14:textId="45E47CB0" w:rsidR="00091955" w:rsidRPr="000D5AF0" w:rsidRDefault="00091955" w:rsidP="00F70292">
            <w:pPr>
              <w:pStyle w:val="Heading1"/>
              <w:spacing w:after="0"/>
              <w:rPr>
                <w:sz w:val="22"/>
                <w:szCs w:val="22"/>
              </w:rPr>
            </w:pPr>
          </w:p>
        </w:tc>
      </w:tr>
      <w:tr w:rsidR="00091955" w:rsidRPr="000D5AF0" w14:paraId="1D16C133" w14:textId="7E8678D5" w:rsidTr="00091955">
        <w:tc>
          <w:tcPr>
            <w:tcW w:w="2786" w:type="dxa"/>
            <w:vAlign w:val="center"/>
          </w:tcPr>
          <w:p w14:paraId="4F93A0FA" w14:textId="41D54D89" w:rsidR="00091955" w:rsidRPr="000D5AF0" w:rsidRDefault="00091955" w:rsidP="00F70292">
            <w:pPr>
              <w:pStyle w:val="Heading1"/>
              <w:spacing w:after="0"/>
              <w:jc w:val="center"/>
              <w:rPr>
                <w:sz w:val="22"/>
                <w:szCs w:val="22"/>
              </w:rPr>
            </w:pPr>
            <w:r w:rsidRPr="000D5AF0">
              <w:rPr>
                <w:sz w:val="22"/>
                <w:szCs w:val="22"/>
              </w:rPr>
              <w:t>Version No.</w:t>
            </w:r>
          </w:p>
        </w:tc>
        <w:tc>
          <w:tcPr>
            <w:tcW w:w="2786" w:type="dxa"/>
            <w:gridSpan w:val="2"/>
          </w:tcPr>
          <w:p w14:paraId="091B8829" w14:textId="5B43F43A" w:rsidR="00091955" w:rsidRPr="000D5AF0" w:rsidRDefault="00091955" w:rsidP="00F70292">
            <w:pPr>
              <w:pStyle w:val="Heading1"/>
              <w:spacing w:after="0"/>
              <w:jc w:val="center"/>
              <w:rPr>
                <w:sz w:val="22"/>
                <w:szCs w:val="22"/>
              </w:rPr>
            </w:pPr>
            <w:r w:rsidRPr="000D5AF0">
              <w:rPr>
                <w:sz w:val="22"/>
                <w:szCs w:val="22"/>
              </w:rPr>
              <w:t>Status</w:t>
            </w:r>
          </w:p>
        </w:tc>
        <w:tc>
          <w:tcPr>
            <w:tcW w:w="2787" w:type="dxa"/>
            <w:vAlign w:val="center"/>
          </w:tcPr>
          <w:p w14:paraId="07D67FB0" w14:textId="5C3F7294" w:rsidR="00091955" w:rsidRPr="000D5AF0" w:rsidRDefault="00091955" w:rsidP="00F70292">
            <w:pPr>
              <w:pStyle w:val="Heading1"/>
              <w:spacing w:after="0"/>
              <w:jc w:val="center"/>
              <w:rPr>
                <w:sz w:val="22"/>
                <w:szCs w:val="22"/>
              </w:rPr>
            </w:pPr>
            <w:r w:rsidRPr="000D5AF0">
              <w:rPr>
                <w:sz w:val="22"/>
                <w:szCs w:val="22"/>
              </w:rPr>
              <w:t>Issue Date</w:t>
            </w:r>
          </w:p>
        </w:tc>
      </w:tr>
      <w:tr w:rsidR="00091955" w:rsidRPr="000D5AF0" w14:paraId="3A1370DA" w14:textId="0B473B6C" w:rsidTr="00091955">
        <w:tc>
          <w:tcPr>
            <w:tcW w:w="2786" w:type="dxa"/>
            <w:vAlign w:val="center"/>
          </w:tcPr>
          <w:p w14:paraId="4EBCF964" w14:textId="2DF9053F" w:rsidR="00091955" w:rsidRPr="000D5AF0" w:rsidRDefault="00091955" w:rsidP="00F70292">
            <w:pPr>
              <w:pStyle w:val="Heading1"/>
              <w:spacing w:after="0"/>
              <w:jc w:val="center"/>
              <w:rPr>
                <w:b w:val="0"/>
                <w:bCs w:val="0"/>
                <w:sz w:val="22"/>
                <w:szCs w:val="22"/>
              </w:rPr>
            </w:pPr>
            <w:r w:rsidRPr="000D5AF0">
              <w:rPr>
                <w:b w:val="0"/>
                <w:bCs w:val="0"/>
                <w:sz w:val="22"/>
                <w:szCs w:val="22"/>
              </w:rPr>
              <w:t>0.</w:t>
            </w:r>
            <w:r w:rsidR="007501B6">
              <w:rPr>
                <w:b w:val="0"/>
                <w:bCs w:val="0"/>
                <w:sz w:val="22"/>
                <w:szCs w:val="22"/>
              </w:rPr>
              <w:t>2</w:t>
            </w:r>
          </w:p>
        </w:tc>
        <w:tc>
          <w:tcPr>
            <w:tcW w:w="2786" w:type="dxa"/>
            <w:gridSpan w:val="2"/>
          </w:tcPr>
          <w:p w14:paraId="31AFAFAA" w14:textId="2014B079" w:rsidR="00091955" w:rsidRPr="000D5AF0" w:rsidRDefault="007501B6" w:rsidP="00F70292">
            <w:pPr>
              <w:pStyle w:val="Heading1"/>
              <w:spacing w:after="0"/>
              <w:jc w:val="center"/>
              <w:rPr>
                <w:b w:val="0"/>
                <w:bCs w:val="0"/>
                <w:sz w:val="22"/>
                <w:szCs w:val="22"/>
              </w:rPr>
            </w:pPr>
            <w:r>
              <w:rPr>
                <w:b w:val="0"/>
                <w:bCs w:val="0"/>
                <w:sz w:val="22"/>
                <w:szCs w:val="22"/>
              </w:rPr>
              <w:t>Final</w:t>
            </w:r>
          </w:p>
        </w:tc>
        <w:tc>
          <w:tcPr>
            <w:tcW w:w="2787" w:type="dxa"/>
            <w:vAlign w:val="center"/>
          </w:tcPr>
          <w:p w14:paraId="46BF54DB" w14:textId="0822DAC6" w:rsidR="00091955" w:rsidRPr="000D5AF0" w:rsidRDefault="007501B6" w:rsidP="00F70292">
            <w:pPr>
              <w:pStyle w:val="Heading1"/>
              <w:spacing w:after="0"/>
              <w:jc w:val="center"/>
              <w:rPr>
                <w:b w:val="0"/>
                <w:bCs w:val="0"/>
                <w:sz w:val="22"/>
                <w:szCs w:val="22"/>
              </w:rPr>
            </w:pPr>
            <w:r>
              <w:rPr>
                <w:b w:val="0"/>
                <w:bCs w:val="0"/>
                <w:sz w:val="22"/>
                <w:szCs w:val="22"/>
              </w:rPr>
              <w:t>18.11.24</w:t>
            </w:r>
          </w:p>
        </w:tc>
      </w:tr>
      <w:tr w:rsidR="00091955" w:rsidRPr="000D5AF0" w14:paraId="4526ABE7" w14:textId="77777777" w:rsidTr="00091955">
        <w:tc>
          <w:tcPr>
            <w:tcW w:w="2786" w:type="dxa"/>
            <w:vAlign w:val="center"/>
          </w:tcPr>
          <w:p w14:paraId="7ABD28E1" w14:textId="77777777" w:rsidR="00091955" w:rsidRPr="000D5AF0" w:rsidRDefault="00091955" w:rsidP="00F70292">
            <w:pPr>
              <w:pStyle w:val="Heading1"/>
              <w:spacing w:after="0"/>
              <w:jc w:val="center"/>
              <w:rPr>
                <w:b w:val="0"/>
                <w:bCs w:val="0"/>
                <w:sz w:val="22"/>
                <w:szCs w:val="22"/>
              </w:rPr>
            </w:pPr>
          </w:p>
        </w:tc>
        <w:tc>
          <w:tcPr>
            <w:tcW w:w="2786" w:type="dxa"/>
            <w:gridSpan w:val="2"/>
          </w:tcPr>
          <w:p w14:paraId="6E6EB3B1" w14:textId="77777777" w:rsidR="00091955" w:rsidRPr="000D5AF0" w:rsidRDefault="00091955" w:rsidP="00F70292">
            <w:pPr>
              <w:pStyle w:val="Heading1"/>
              <w:spacing w:after="0"/>
              <w:jc w:val="center"/>
              <w:rPr>
                <w:b w:val="0"/>
                <w:bCs w:val="0"/>
                <w:sz w:val="22"/>
                <w:szCs w:val="22"/>
              </w:rPr>
            </w:pPr>
          </w:p>
        </w:tc>
        <w:tc>
          <w:tcPr>
            <w:tcW w:w="2787" w:type="dxa"/>
            <w:vAlign w:val="center"/>
          </w:tcPr>
          <w:p w14:paraId="45D6311B" w14:textId="3BF2D8AA" w:rsidR="00091955" w:rsidRPr="000D5AF0" w:rsidRDefault="00091955" w:rsidP="00F70292">
            <w:pPr>
              <w:pStyle w:val="Heading1"/>
              <w:spacing w:after="0"/>
              <w:jc w:val="center"/>
              <w:rPr>
                <w:b w:val="0"/>
                <w:bCs w:val="0"/>
                <w:sz w:val="22"/>
                <w:szCs w:val="22"/>
              </w:rPr>
            </w:pPr>
          </w:p>
        </w:tc>
      </w:tr>
    </w:tbl>
    <w:p w14:paraId="1930358D" w14:textId="0304AF7B" w:rsidR="00F70292" w:rsidRDefault="00F70292" w:rsidP="00F70292"/>
    <w:p w14:paraId="2402C904" w14:textId="7CF246E6" w:rsidR="00F80C06" w:rsidRPr="008303B9" w:rsidRDefault="00AE2F7D" w:rsidP="00F80C06">
      <w:pPr>
        <w:pStyle w:val="Heading2"/>
      </w:pPr>
      <w:r>
        <w:t>Introduction</w:t>
      </w:r>
    </w:p>
    <w:p w14:paraId="4562B39C" w14:textId="5DCFC424" w:rsidR="009108D7" w:rsidRDefault="00AE2F7D" w:rsidP="003F4A04">
      <w:r>
        <w:t>This Quick Reference Guide</w:t>
      </w:r>
      <w:r w:rsidR="009108D7">
        <w:t xml:space="preserve"> sets out: </w:t>
      </w:r>
    </w:p>
    <w:p w14:paraId="5394C47F" w14:textId="2A05C460" w:rsidR="009108D7" w:rsidRDefault="003507A1" w:rsidP="009108D7">
      <w:pPr>
        <w:pStyle w:val="ListParagraph"/>
        <w:numPr>
          <w:ilvl w:val="0"/>
          <w:numId w:val="16"/>
        </w:numPr>
      </w:pPr>
      <w:r>
        <w:t>CPI Boundaries and definitions</w:t>
      </w:r>
    </w:p>
    <w:p w14:paraId="746B5CF2" w14:textId="77777777" w:rsidR="003D0866" w:rsidRPr="003D0866" w:rsidRDefault="003D0866" w:rsidP="003D0866">
      <w:pPr>
        <w:rPr>
          <w:lang w:val="en-AU"/>
        </w:rPr>
      </w:pPr>
      <w:r w:rsidRPr="003D0866">
        <w:rPr>
          <w:lang w:val="en-AU"/>
        </w:rPr>
        <w:t>In regard to CPI increases for suppliers we will be updating or tender documents to reflect caps of 3% per year. This will deliver us a significant saving moving forward as suppliers have traditionally been receiving and negotiating in their term’s large amounts of sometimes 10% -20% increases from their extension periods year on year. If we follow the 3 percent cap per year and the terms below council will look at saving up to $1-2million dollars in that period as an estimate across our contracts and future requirements.</w:t>
      </w:r>
    </w:p>
    <w:p w14:paraId="55D99EBB" w14:textId="77777777" w:rsidR="003D0866" w:rsidRPr="003D0866" w:rsidRDefault="003D0866" w:rsidP="003D0866">
      <w:pPr>
        <w:rPr>
          <w:lang w:val="en-AU"/>
        </w:rPr>
      </w:pPr>
    </w:p>
    <w:p w14:paraId="18AB5EA7" w14:textId="77777777" w:rsidR="003D0866" w:rsidRPr="003D0866" w:rsidRDefault="003D0866" w:rsidP="003D0866">
      <w:pPr>
        <w:numPr>
          <w:ilvl w:val="0"/>
          <w:numId w:val="18"/>
        </w:numPr>
        <w:rPr>
          <w:lang w:val="en-AU"/>
        </w:rPr>
      </w:pPr>
      <w:r w:rsidRPr="003D0866">
        <w:rPr>
          <w:lang w:val="en-AU"/>
        </w:rPr>
        <w:t>This is also another reason we need to be testing the market and not rolling over extensions. It gives the supplier the upper hand with CPI increases and lowers competitive commercial tension. As a general and part of our training we recommend 3 years max as 2 years and one year extension unless you can show with market intelligence otherwise.</w:t>
      </w:r>
    </w:p>
    <w:p w14:paraId="015AE3AB" w14:textId="77777777" w:rsidR="003D0866" w:rsidRPr="003D0866" w:rsidRDefault="003D0866" w:rsidP="003D0866">
      <w:pPr>
        <w:rPr>
          <w:lang w:val="en-AU"/>
        </w:rPr>
      </w:pPr>
    </w:p>
    <w:p w14:paraId="16DCD70A" w14:textId="4DE08147" w:rsidR="003D0866" w:rsidRPr="003D0866" w:rsidRDefault="003D0866" w:rsidP="003D0866">
      <w:pPr>
        <w:numPr>
          <w:ilvl w:val="0"/>
          <w:numId w:val="18"/>
        </w:numPr>
        <w:rPr>
          <w:lang w:val="en-AU"/>
        </w:rPr>
      </w:pPr>
      <w:r w:rsidRPr="003D0866">
        <w:rPr>
          <w:lang w:val="en-AU"/>
        </w:rPr>
        <w:t xml:space="preserve">In your current and future procurement until the new suite is finalised with the default messaging, please use the below: We will document this as a guideline and advise in our contract management training. Procurement run tenders and business unit procurement should have the below inserted for </w:t>
      </w:r>
      <w:r w:rsidRPr="003D0866">
        <w:rPr>
          <w:b/>
          <w:bCs/>
          <w:lang w:val="en-AU"/>
        </w:rPr>
        <w:t xml:space="preserve">any future procurement. </w:t>
      </w:r>
      <w:r w:rsidR="0028054D">
        <w:rPr>
          <w:lang w:val="en-AU"/>
        </w:rPr>
        <w:t>This provides VFM and is linked to our Value for Money guideline and policies.</w:t>
      </w:r>
    </w:p>
    <w:p w14:paraId="31324BCA" w14:textId="77777777" w:rsidR="003D0866" w:rsidRPr="003D0866" w:rsidRDefault="003D0866" w:rsidP="003D0866">
      <w:pPr>
        <w:rPr>
          <w:lang w:val="en-AU"/>
        </w:rPr>
      </w:pPr>
    </w:p>
    <w:p w14:paraId="7192495A" w14:textId="77777777" w:rsidR="003D0866" w:rsidRPr="003D0866" w:rsidRDefault="003D0866" w:rsidP="003D0866">
      <w:pPr>
        <w:numPr>
          <w:ilvl w:val="0"/>
          <w:numId w:val="18"/>
        </w:numPr>
        <w:rPr>
          <w:u w:val="single"/>
          <w:lang w:val="en-AU"/>
        </w:rPr>
      </w:pPr>
      <w:r w:rsidRPr="003D0866">
        <w:rPr>
          <w:u w:val="single"/>
          <w:lang w:val="en-AU"/>
        </w:rPr>
        <w:t>Tendered Schedule of Prices Rates / Lump Sum for the above services is subject to an annual CPI adjustment in accordance regard to the Services General Conditions component of the contract, and particularly Clause 3.4 Price Adjustments</w:t>
      </w:r>
    </w:p>
    <w:p w14:paraId="1414F666" w14:textId="77777777" w:rsidR="003D0866" w:rsidRPr="003D0866" w:rsidRDefault="003D0866" w:rsidP="003D0866">
      <w:pPr>
        <w:rPr>
          <w:lang w:val="en-AU"/>
        </w:rPr>
      </w:pPr>
    </w:p>
    <w:p w14:paraId="033D6A1F" w14:textId="6E31EA80" w:rsidR="003D0866" w:rsidRPr="003D0866" w:rsidRDefault="003D0866" w:rsidP="003D0866">
      <w:pPr>
        <w:rPr>
          <w:b/>
          <w:bCs/>
          <w:lang w:val="en-AU"/>
        </w:rPr>
      </w:pPr>
      <w:r w:rsidRPr="003D0866">
        <w:rPr>
          <w:lang w:val="en-AU"/>
        </w:rPr>
        <w:t xml:space="preserve">3.4 - </w:t>
      </w:r>
      <w:r w:rsidRPr="003D0866">
        <w:rPr>
          <w:b/>
          <w:bCs/>
          <w:lang w:val="en-AU"/>
        </w:rPr>
        <w:t xml:space="preserve">All prices are subject to a CPI increase </w:t>
      </w:r>
      <w:r w:rsidR="003F267E">
        <w:rPr>
          <w:b/>
          <w:bCs/>
          <w:lang w:val="en-AU"/>
        </w:rPr>
        <w:t>at CPI</w:t>
      </w:r>
      <w:r w:rsidR="001D5DE9">
        <w:rPr>
          <w:b/>
          <w:bCs/>
          <w:lang w:val="en-AU"/>
        </w:rPr>
        <w:t xml:space="preserve"> indexed rate</w:t>
      </w:r>
      <w:r w:rsidRPr="003D0866">
        <w:rPr>
          <w:b/>
          <w:bCs/>
          <w:lang w:val="en-AU"/>
        </w:rPr>
        <w:t xml:space="preserve"> </w:t>
      </w:r>
      <w:r w:rsidR="00A57972" w:rsidRPr="00BB46B1">
        <w:rPr>
          <w:b/>
          <w:bCs/>
          <w:lang w:val="en-AU"/>
        </w:rPr>
        <w:t>carried our once each</w:t>
      </w:r>
      <w:r w:rsidRPr="00BB46B1">
        <w:rPr>
          <w:b/>
          <w:bCs/>
          <w:lang w:val="en-AU"/>
        </w:rPr>
        <w:t xml:space="preserve"> financial year</w:t>
      </w:r>
      <w:r w:rsidR="00735D45">
        <w:rPr>
          <w:b/>
          <w:bCs/>
          <w:lang w:val="en-AU"/>
        </w:rPr>
        <w:t xml:space="preserve"> (usually occurs </w:t>
      </w:r>
      <w:r w:rsidR="007501B6">
        <w:rPr>
          <w:b/>
          <w:bCs/>
          <w:lang w:val="en-AU"/>
        </w:rPr>
        <w:t>on contract anniversary)</w:t>
      </w:r>
      <w:r w:rsidRPr="00BB46B1">
        <w:rPr>
          <w:b/>
          <w:bCs/>
          <w:lang w:val="en-AU"/>
        </w:rPr>
        <w:t xml:space="preserve"> (capped at </w:t>
      </w:r>
      <w:r w:rsidR="00735D45">
        <w:rPr>
          <w:b/>
          <w:bCs/>
          <w:lang w:val="en-AU"/>
        </w:rPr>
        <w:t>3</w:t>
      </w:r>
      <w:r w:rsidRPr="00BB46B1">
        <w:rPr>
          <w:b/>
          <w:bCs/>
          <w:lang w:val="en-AU"/>
        </w:rPr>
        <w:t>%) including the below terms:</w:t>
      </w:r>
    </w:p>
    <w:p w14:paraId="661CCA2D" w14:textId="77777777" w:rsidR="003D0866" w:rsidRPr="003D0866" w:rsidRDefault="003D0866" w:rsidP="003D0866">
      <w:pPr>
        <w:rPr>
          <w:b/>
          <w:bCs/>
          <w:lang w:val="en-AU"/>
        </w:rPr>
      </w:pPr>
      <w:r w:rsidRPr="003D0866">
        <w:rPr>
          <w:lang w:val="en-AU"/>
        </w:rPr>
        <w:t>      -</w:t>
      </w:r>
      <w:r w:rsidRPr="003D0866">
        <w:rPr>
          <w:b/>
          <w:bCs/>
          <w:lang w:val="en-AU"/>
        </w:rPr>
        <w:t xml:space="preserve"> Initial contract terms will find a CPI increase capped at 3% each year for the term of the contract.</w:t>
      </w:r>
    </w:p>
    <w:p w14:paraId="798512EA" w14:textId="77777777" w:rsidR="003D0866" w:rsidRPr="003D0866" w:rsidRDefault="003D0866" w:rsidP="003D0866">
      <w:pPr>
        <w:rPr>
          <w:b/>
          <w:bCs/>
          <w:lang w:val="en-AU"/>
        </w:rPr>
      </w:pPr>
      <w:r w:rsidRPr="003D0866">
        <w:rPr>
          <w:b/>
          <w:bCs/>
          <w:lang w:val="en-AU"/>
        </w:rPr>
        <w:t>      - If CPI has not been applied for year/s of the contract – the 3 percent cap will apply going forward retrospectively.</w:t>
      </w:r>
    </w:p>
    <w:p w14:paraId="01338170" w14:textId="7930689E" w:rsidR="003D0866" w:rsidRPr="003D0866" w:rsidRDefault="003D0866" w:rsidP="003D0866">
      <w:pPr>
        <w:rPr>
          <w:b/>
          <w:bCs/>
          <w:lang w:val="en-AU"/>
        </w:rPr>
      </w:pPr>
      <w:r w:rsidRPr="003D0866">
        <w:rPr>
          <w:b/>
          <w:bCs/>
          <w:lang w:val="en-AU"/>
        </w:rPr>
        <w:t xml:space="preserve">      - Secondary terms that are </w:t>
      </w:r>
      <w:r w:rsidR="00AE2906" w:rsidRPr="003D0866">
        <w:rPr>
          <w:b/>
          <w:bCs/>
          <w:lang w:val="en-AU"/>
        </w:rPr>
        <w:t>extensions,</w:t>
      </w:r>
      <w:r w:rsidRPr="003D0866">
        <w:rPr>
          <w:b/>
          <w:bCs/>
          <w:lang w:val="en-AU"/>
        </w:rPr>
        <w:t xml:space="preserve"> or temporary extensions will also have a maximum cap of 3%.</w:t>
      </w:r>
    </w:p>
    <w:p w14:paraId="2FF964DA" w14:textId="77777777" w:rsidR="003D0866" w:rsidRPr="003D0866" w:rsidRDefault="003D0866" w:rsidP="003D0866">
      <w:pPr>
        <w:rPr>
          <w:b/>
          <w:bCs/>
          <w:u w:val="single"/>
          <w:lang w:val="en-AU"/>
        </w:rPr>
      </w:pPr>
      <w:r w:rsidRPr="003D0866">
        <w:rPr>
          <w:b/>
          <w:bCs/>
          <w:lang w:val="en-AU"/>
        </w:rPr>
        <w:t xml:space="preserve">      - Initial and Secondary terms are calculated on a compound basis: example* </w:t>
      </w:r>
      <w:r w:rsidRPr="003D0866">
        <w:rPr>
          <w:b/>
          <w:bCs/>
          <w:u w:val="single"/>
          <w:lang w:val="en-AU"/>
        </w:rPr>
        <w:t xml:space="preserve">2024 has a CPI increase of 2.1% at 138.8: </w:t>
      </w:r>
    </w:p>
    <w:p w14:paraId="0D9EDDC2" w14:textId="77777777" w:rsidR="003D0866" w:rsidRDefault="003D0866" w:rsidP="003D0866">
      <w:pPr>
        <w:rPr>
          <w:b/>
          <w:bCs/>
          <w:u w:val="single"/>
          <w:lang w:val="en-AU"/>
        </w:rPr>
      </w:pPr>
      <w:r w:rsidRPr="003D0866">
        <w:rPr>
          <w:b/>
          <w:bCs/>
          <w:lang w:val="en-AU"/>
        </w:rPr>
        <w:t>           </w:t>
      </w:r>
      <w:r w:rsidRPr="003D0866">
        <w:rPr>
          <w:b/>
          <w:bCs/>
          <w:u w:val="single"/>
          <w:lang w:val="en-AU"/>
        </w:rPr>
        <w:t>2025 is then calculated at CPI 141.1 at an increase of 1.64% to the rates</w:t>
      </w:r>
    </w:p>
    <w:p w14:paraId="1B56937F" w14:textId="77777777" w:rsidR="003D0866" w:rsidRDefault="003D0866" w:rsidP="003D0866">
      <w:pPr>
        <w:rPr>
          <w:b/>
          <w:bCs/>
          <w:u w:val="single"/>
          <w:lang w:val="en-AU"/>
        </w:rPr>
      </w:pPr>
    </w:p>
    <w:p w14:paraId="39977696" w14:textId="5B4337B4" w:rsidR="003D0866" w:rsidRPr="003D0866" w:rsidRDefault="003D0866" w:rsidP="003D0866">
      <w:pPr>
        <w:rPr>
          <w:b/>
          <w:bCs/>
          <w:u w:val="single"/>
          <w:lang w:val="en-AU"/>
        </w:rPr>
      </w:pPr>
      <w:r>
        <w:rPr>
          <w:b/>
          <w:bCs/>
          <w:u w:val="single"/>
          <w:lang w:val="en-AU"/>
        </w:rPr>
        <w:t xml:space="preserve">**The above is subject to council </w:t>
      </w:r>
      <w:r w:rsidR="00410F00">
        <w:rPr>
          <w:b/>
          <w:bCs/>
          <w:u w:val="single"/>
          <w:lang w:val="en-AU"/>
        </w:rPr>
        <w:t xml:space="preserve">discretion and negotiations with the supplier on a case by case basis and a VFM </w:t>
      </w:r>
      <w:r w:rsidR="00FB68A4">
        <w:rPr>
          <w:b/>
          <w:bCs/>
          <w:u w:val="single"/>
          <w:lang w:val="en-AU"/>
        </w:rPr>
        <w:t>assessment</w:t>
      </w:r>
      <w:r w:rsidR="00410F00">
        <w:rPr>
          <w:b/>
          <w:bCs/>
          <w:u w:val="single"/>
          <w:lang w:val="en-AU"/>
        </w:rPr>
        <w:t>.</w:t>
      </w:r>
    </w:p>
    <w:p w14:paraId="22AE234C" w14:textId="77777777" w:rsidR="003D0866" w:rsidRPr="003D0866" w:rsidRDefault="003D0866" w:rsidP="003D0866">
      <w:pPr>
        <w:rPr>
          <w:b/>
          <w:bCs/>
          <w:u w:val="single"/>
          <w:lang w:val="en-AU"/>
        </w:rPr>
      </w:pPr>
    </w:p>
    <w:p w14:paraId="03287F63" w14:textId="6E460B78" w:rsidR="00327DF7" w:rsidRDefault="00327DF7" w:rsidP="003F4A04"/>
    <w:sectPr w:rsidR="00327DF7" w:rsidSect="00327DF7">
      <w:headerReference w:type="default" r:id="rId8"/>
      <w:footerReference w:type="default" r:id="rId9"/>
      <w:pgSz w:w="16840" w:h="11900" w:orient="landscape"/>
      <w:pgMar w:top="1800" w:right="1440" w:bottom="180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5DBA3" w14:textId="77777777" w:rsidR="000F40DA" w:rsidRDefault="000F40DA" w:rsidP="003F4A04">
      <w:r>
        <w:separator/>
      </w:r>
    </w:p>
  </w:endnote>
  <w:endnote w:type="continuationSeparator" w:id="0">
    <w:p w14:paraId="566E52B7" w14:textId="77777777" w:rsidR="000F40DA" w:rsidRDefault="000F40DA" w:rsidP="003F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3FA0" w14:textId="77777777" w:rsidR="00327DF7" w:rsidRPr="00394A1C" w:rsidRDefault="00327DF7" w:rsidP="00C1169E">
    <w:pPr>
      <w:pStyle w:val="Footer"/>
      <w:rPr>
        <w:color w:val="FFFFFF"/>
      </w:rPr>
    </w:pPr>
    <w:r>
      <w:rPr>
        <w:noProof/>
        <w:lang w:val="en-AU" w:eastAsia="en-AU"/>
      </w:rPr>
      <w:drawing>
        <wp:anchor distT="0" distB="0" distL="114300" distR="114300" simplePos="0" relativeHeight="251678720" behindDoc="1" locked="0" layoutInCell="1" allowOverlap="1" wp14:anchorId="77E0E604" wp14:editId="09E52244">
          <wp:simplePos x="0" y="0"/>
          <wp:positionH relativeFrom="page">
            <wp:posOffset>0</wp:posOffset>
          </wp:positionH>
          <wp:positionV relativeFrom="page">
            <wp:posOffset>10053955</wp:posOffset>
          </wp:positionV>
          <wp:extent cx="7560945" cy="643255"/>
          <wp:effectExtent l="0" t="0" r="8255" b="0"/>
          <wp:wrapNone/>
          <wp:docPr id="2009719978" name="Picture 12" descr="Design:DAN_City of Greater Dandenong:DAN1048_MicrosoftTemplates:Design:Imported Graphics:Photoshop:Low Res:Word:Foot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ign:DAN_City of Greater Dandenong:DAN1048_MicrosoftTemplates:Design:Imported Graphics:Photoshop:Low Res:Word:Footer-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A1C">
      <w:rPr>
        <w:rStyle w:val="PageNumber"/>
        <w:rFonts w:ascii="Arial" w:hAnsi="Arial"/>
        <w:color w:val="FFFFFF"/>
      </w:rPr>
      <w:t xml:space="preserve">Page </w:t>
    </w:r>
    <w:r w:rsidRPr="00394A1C">
      <w:rPr>
        <w:rStyle w:val="PageNumber"/>
        <w:rFonts w:ascii="Arial" w:hAnsi="Arial"/>
        <w:color w:val="FFFFFF"/>
      </w:rPr>
      <w:fldChar w:fldCharType="begin"/>
    </w:r>
    <w:r w:rsidRPr="00394A1C">
      <w:rPr>
        <w:rStyle w:val="PageNumber"/>
        <w:rFonts w:ascii="Arial" w:hAnsi="Arial"/>
        <w:color w:val="FFFFFF"/>
      </w:rPr>
      <w:instrText xml:space="preserve">PAGE  </w:instrText>
    </w:r>
    <w:r w:rsidRPr="00394A1C">
      <w:rPr>
        <w:rStyle w:val="PageNumber"/>
        <w:rFonts w:ascii="Arial" w:hAnsi="Arial"/>
        <w:color w:val="FFFFFF"/>
      </w:rPr>
      <w:fldChar w:fldCharType="separate"/>
    </w:r>
    <w:r>
      <w:rPr>
        <w:rStyle w:val="PageNumber"/>
        <w:rFonts w:ascii="Arial" w:hAnsi="Arial"/>
        <w:noProof/>
        <w:color w:val="FFFFFF"/>
      </w:rPr>
      <w:t>2</w:t>
    </w:r>
    <w:r w:rsidRPr="00394A1C">
      <w:rPr>
        <w:rStyle w:val="PageNumber"/>
        <w:rFonts w:ascii="Arial" w:hAnsi="Arial"/>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A9D11" w14:textId="77777777" w:rsidR="000F40DA" w:rsidRDefault="000F40DA" w:rsidP="003F4A04">
      <w:r>
        <w:separator/>
      </w:r>
    </w:p>
  </w:footnote>
  <w:footnote w:type="continuationSeparator" w:id="0">
    <w:p w14:paraId="6DED1831" w14:textId="77777777" w:rsidR="000F40DA" w:rsidRDefault="000F40DA" w:rsidP="003F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DE84" w14:textId="21C30AF6" w:rsidR="00327DF7" w:rsidRDefault="00327DF7" w:rsidP="003F4A04">
    <w:pPr>
      <w:pStyle w:val="Header"/>
    </w:pPr>
    <w:r>
      <w:rPr>
        <w:noProof/>
        <w:lang w:val="en-AU" w:eastAsia="en-AU"/>
      </w:rPr>
      <w:drawing>
        <wp:anchor distT="0" distB="0" distL="114300" distR="114300" simplePos="0" relativeHeight="251675648" behindDoc="1" locked="0" layoutInCell="1" allowOverlap="1" wp14:anchorId="6ED5FD9C" wp14:editId="357171D8">
          <wp:simplePos x="0" y="0"/>
          <wp:positionH relativeFrom="page">
            <wp:align>right</wp:align>
          </wp:positionH>
          <wp:positionV relativeFrom="page">
            <wp:align>top</wp:align>
          </wp:positionV>
          <wp:extent cx="10677525" cy="904875"/>
          <wp:effectExtent l="0" t="0" r="9525" b="9525"/>
          <wp:wrapNone/>
          <wp:docPr id="238273613" name="Picture 11" descr="Design:DAN_City of Greater Dandenong:DAN1048_MicrosoftTemplates:Design:Imported Graphics:Photoshop:Low Res:Word:Head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ign:DAN_City of Greater Dandenong:DAN1048_MicrosoftTemplates:Design:Imported Graphics:Photoshop:Low Res:Word:Header-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5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76672" behindDoc="0" locked="0" layoutInCell="1" allowOverlap="1" wp14:anchorId="40B219A3" wp14:editId="0E0965AA">
              <wp:simplePos x="0" y="0"/>
              <wp:positionH relativeFrom="margin">
                <wp:posOffset>-82550</wp:posOffset>
              </wp:positionH>
              <wp:positionV relativeFrom="paragraph">
                <wp:posOffset>-316230</wp:posOffset>
              </wp:positionV>
              <wp:extent cx="5276850" cy="695325"/>
              <wp:effectExtent l="0" t="0" r="0" b="0"/>
              <wp:wrapNone/>
              <wp:docPr id="1187912437" name="Text Box 1"/>
              <wp:cNvGraphicFramePr/>
              <a:graphic xmlns:a="http://schemas.openxmlformats.org/drawingml/2006/main">
                <a:graphicData uri="http://schemas.microsoft.com/office/word/2010/wordprocessingShape">
                  <wps:wsp>
                    <wps:cNvSpPr txBox="1"/>
                    <wps:spPr>
                      <a:xfrm>
                        <a:off x="0" y="0"/>
                        <a:ext cx="5276850" cy="695325"/>
                      </a:xfrm>
                      <a:prstGeom prst="rect">
                        <a:avLst/>
                      </a:prstGeom>
                      <a:noFill/>
                      <a:ln w="6350">
                        <a:noFill/>
                      </a:ln>
                    </wps:spPr>
                    <wps:txbx>
                      <w:txbxContent>
                        <w:p w14:paraId="223CA2DF" w14:textId="77777777" w:rsidR="00327DF7" w:rsidRPr="009F46E4" w:rsidRDefault="00327DF7" w:rsidP="009F46E4">
                          <w:pPr>
                            <w:spacing w:after="0" w:line="240" w:lineRule="auto"/>
                            <w:rPr>
                              <w:b/>
                              <w:bCs/>
                              <w:color w:val="FFFFFF" w:themeColor="background1"/>
                              <w:sz w:val="40"/>
                              <w:szCs w:val="40"/>
                              <w:lang w:val="en-US"/>
                            </w:rPr>
                          </w:pPr>
                          <w:r w:rsidRPr="009F46E4">
                            <w:rPr>
                              <w:b/>
                              <w:bCs/>
                              <w:color w:val="FFFFFF" w:themeColor="background1"/>
                              <w:sz w:val="40"/>
                              <w:szCs w:val="40"/>
                              <w:lang w:val="en-US"/>
                            </w:rPr>
                            <w:t>City of Greater Dandenong Procurement</w:t>
                          </w:r>
                        </w:p>
                        <w:p w14:paraId="0B41089A" w14:textId="77777777" w:rsidR="00327DF7" w:rsidRPr="009F46E4" w:rsidRDefault="00327DF7" w:rsidP="009F46E4">
                          <w:pPr>
                            <w:spacing w:after="0" w:line="240" w:lineRule="auto"/>
                            <w:rPr>
                              <w:b/>
                              <w:bCs/>
                              <w:color w:val="FFFFFF" w:themeColor="background1"/>
                              <w:sz w:val="34"/>
                              <w:szCs w:val="34"/>
                              <w:lang w:val="en-US"/>
                            </w:rPr>
                          </w:pPr>
                          <w:r w:rsidRPr="009F46E4">
                            <w:rPr>
                              <w:b/>
                              <w:bCs/>
                              <w:color w:val="FFFFFF" w:themeColor="background1"/>
                              <w:sz w:val="34"/>
                              <w:szCs w:val="34"/>
                              <w:lang w:val="en-US"/>
                            </w:rPr>
                            <w:t>Quick Reference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219A3" id="_x0000_t202" coordsize="21600,21600" o:spt="202" path="m,l,21600r21600,l21600,xe">
              <v:stroke joinstyle="miter"/>
              <v:path gradientshapeok="t" o:connecttype="rect"/>
            </v:shapetype>
            <v:shape id="Text Box 1" o:spid="_x0000_s1026" type="#_x0000_t202" style="position:absolute;margin-left:-6.5pt;margin-top:-24.9pt;width:415.5pt;height:5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" filled="f" stroked="f" strokeweight=".5pt">
              <v:textbox>
                <w:txbxContent>
                  <w:p w14:paraId="223CA2DF" w14:textId="77777777" w:rsidR="00327DF7" w:rsidRPr="009F46E4" w:rsidRDefault="00327DF7" w:rsidP="009F46E4">
                    <w:pPr>
                      <w:spacing w:after="0" w:line="240" w:lineRule="auto"/>
                      <w:rPr>
                        <w:b/>
                        <w:bCs/>
                        <w:color w:val="FFFFFF" w:themeColor="background1"/>
                        <w:sz w:val="40"/>
                        <w:szCs w:val="40"/>
                        <w:lang w:val="en-US"/>
                      </w:rPr>
                    </w:pPr>
                    <w:r w:rsidRPr="009F46E4">
                      <w:rPr>
                        <w:b/>
                        <w:bCs/>
                        <w:color w:val="FFFFFF" w:themeColor="background1"/>
                        <w:sz w:val="40"/>
                        <w:szCs w:val="40"/>
                        <w:lang w:val="en-US"/>
                      </w:rPr>
                      <w:t>City of Greater Dandenong Procurement</w:t>
                    </w:r>
                  </w:p>
                  <w:p w14:paraId="0B41089A" w14:textId="77777777" w:rsidR="00327DF7" w:rsidRPr="009F46E4" w:rsidRDefault="00327DF7" w:rsidP="009F46E4">
                    <w:pPr>
                      <w:spacing w:after="0" w:line="240" w:lineRule="auto"/>
                      <w:rPr>
                        <w:b/>
                        <w:bCs/>
                        <w:color w:val="FFFFFF" w:themeColor="background1"/>
                        <w:sz w:val="34"/>
                        <w:szCs w:val="34"/>
                        <w:lang w:val="en-US"/>
                      </w:rPr>
                    </w:pPr>
                    <w:r w:rsidRPr="009F46E4">
                      <w:rPr>
                        <w:b/>
                        <w:bCs/>
                        <w:color w:val="FFFFFF" w:themeColor="background1"/>
                        <w:sz w:val="34"/>
                        <w:szCs w:val="34"/>
                        <w:lang w:val="en-US"/>
                      </w:rPr>
                      <w:t>Quick Reference Guide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7BA"/>
    <w:multiLevelType w:val="hybridMultilevel"/>
    <w:tmpl w:val="E92A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F66AA"/>
    <w:multiLevelType w:val="hybridMultilevel"/>
    <w:tmpl w:val="A0F6998C"/>
    <w:lvl w:ilvl="0" w:tplc="0DA605F2">
      <w:numFmt w:val="bullet"/>
      <w:lvlText w:val="•"/>
      <w:lvlJc w:val="left"/>
      <w:pPr>
        <w:ind w:left="1080" w:hanging="72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EF28A2"/>
    <w:multiLevelType w:val="hybridMultilevel"/>
    <w:tmpl w:val="4F7E0B3A"/>
    <w:lvl w:ilvl="0" w:tplc="0DA605F2">
      <w:numFmt w:val="bullet"/>
      <w:lvlText w:val="•"/>
      <w:lvlJc w:val="left"/>
      <w:pPr>
        <w:ind w:left="1080" w:hanging="72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B40B8"/>
    <w:multiLevelType w:val="hybridMultilevel"/>
    <w:tmpl w:val="0276B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9C4BC7"/>
    <w:multiLevelType w:val="hybridMultilevel"/>
    <w:tmpl w:val="B43A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9304D1"/>
    <w:multiLevelType w:val="hybridMultilevel"/>
    <w:tmpl w:val="03FC36E6"/>
    <w:lvl w:ilvl="0" w:tplc="007A809A">
      <w:start w:val="1"/>
      <w:numFmt w:val="bullet"/>
      <w:lvlText w:val="-"/>
      <w:lvlJc w:val="left"/>
      <w:pPr>
        <w:ind w:left="720" w:hanging="36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100B88"/>
    <w:multiLevelType w:val="hybridMultilevel"/>
    <w:tmpl w:val="311C8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4F600F"/>
    <w:multiLevelType w:val="hybridMultilevel"/>
    <w:tmpl w:val="AFFA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965578"/>
    <w:multiLevelType w:val="hybridMultilevel"/>
    <w:tmpl w:val="24CC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04423"/>
    <w:multiLevelType w:val="hybridMultilevel"/>
    <w:tmpl w:val="7298C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A02BBD"/>
    <w:multiLevelType w:val="hybridMultilevel"/>
    <w:tmpl w:val="7F0A357A"/>
    <w:lvl w:ilvl="0" w:tplc="0DA605F2">
      <w:numFmt w:val="bullet"/>
      <w:lvlText w:val="•"/>
      <w:lvlJc w:val="left"/>
      <w:pPr>
        <w:ind w:left="1080" w:hanging="72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105540"/>
    <w:multiLevelType w:val="hybridMultilevel"/>
    <w:tmpl w:val="62C6D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9F0612E"/>
    <w:multiLevelType w:val="hybridMultilevel"/>
    <w:tmpl w:val="B8D0A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C27429"/>
    <w:multiLevelType w:val="hybridMultilevel"/>
    <w:tmpl w:val="50A2D694"/>
    <w:lvl w:ilvl="0" w:tplc="007A809A">
      <w:start w:val="1"/>
      <w:numFmt w:val="bullet"/>
      <w:lvlText w:val="-"/>
      <w:lvlJc w:val="left"/>
      <w:pPr>
        <w:ind w:left="720" w:hanging="36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2F3FFC"/>
    <w:multiLevelType w:val="hybridMultilevel"/>
    <w:tmpl w:val="B59E1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164080"/>
    <w:multiLevelType w:val="hybridMultilevel"/>
    <w:tmpl w:val="40F66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FEA1510"/>
    <w:multiLevelType w:val="hybridMultilevel"/>
    <w:tmpl w:val="0AAEFD0A"/>
    <w:lvl w:ilvl="0" w:tplc="007A809A">
      <w:start w:val="1"/>
      <w:numFmt w:val="bullet"/>
      <w:lvlText w:val="-"/>
      <w:lvlJc w:val="left"/>
      <w:pPr>
        <w:ind w:left="720" w:hanging="36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798826">
    <w:abstractNumId w:val="15"/>
  </w:num>
  <w:num w:numId="2" w16cid:durableId="2131707535">
    <w:abstractNumId w:val="15"/>
  </w:num>
  <w:num w:numId="3" w16cid:durableId="632951920">
    <w:abstractNumId w:val="7"/>
  </w:num>
  <w:num w:numId="4" w16cid:durableId="939069930">
    <w:abstractNumId w:val="12"/>
  </w:num>
  <w:num w:numId="5" w16cid:durableId="1171067281">
    <w:abstractNumId w:val="4"/>
  </w:num>
  <w:num w:numId="6" w16cid:durableId="1477719371">
    <w:abstractNumId w:val="3"/>
  </w:num>
  <w:num w:numId="7" w16cid:durableId="516576636">
    <w:abstractNumId w:val="9"/>
  </w:num>
  <w:num w:numId="8" w16cid:durableId="1083799803">
    <w:abstractNumId w:val="0"/>
  </w:num>
  <w:num w:numId="9" w16cid:durableId="314996369">
    <w:abstractNumId w:val="14"/>
  </w:num>
  <w:num w:numId="10" w16cid:durableId="459811859">
    <w:abstractNumId w:val="2"/>
  </w:num>
  <w:num w:numId="11" w16cid:durableId="292684135">
    <w:abstractNumId w:val="1"/>
  </w:num>
  <w:num w:numId="12" w16cid:durableId="575554726">
    <w:abstractNumId w:val="10"/>
  </w:num>
  <w:num w:numId="13" w16cid:durableId="1517038667">
    <w:abstractNumId w:val="16"/>
  </w:num>
  <w:num w:numId="14" w16cid:durableId="826941948">
    <w:abstractNumId w:val="13"/>
  </w:num>
  <w:num w:numId="15" w16cid:durableId="532117766">
    <w:abstractNumId w:val="5"/>
  </w:num>
  <w:num w:numId="16" w16cid:durableId="1503812718">
    <w:abstractNumId w:val="8"/>
  </w:num>
  <w:num w:numId="17" w16cid:durableId="1107046507">
    <w:abstractNumId w:val="6"/>
  </w:num>
  <w:num w:numId="18" w16cid:durableId="1582176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23"/>
    <w:rsid w:val="00016FC9"/>
    <w:rsid w:val="00025973"/>
    <w:rsid w:val="00054231"/>
    <w:rsid w:val="00057C21"/>
    <w:rsid w:val="00077A79"/>
    <w:rsid w:val="00084F56"/>
    <w:rsid w:val="00090187"/>
    <w:rsid w:val="00091955"/>
    <w:rsid w:val="00095B15"/>
    <w:rsid w:val="000A78DE"/>
    <w:rsid w:val="000B0ECC"/>
    <w:rsid w:val="000B19B3"/>
    <w:rsid w:val="000D5AF0"/>
    <w:rsid w:val="000E6071"/>
    <w:rsid w:val="000F40DA"/>
    <w:rsid w:val="00122CD9"/>
    <w:rsid w:val="00157D59"/>
    <w:rsid w:val="00192A80"/>
    <w:rsid w:val="00197CB0"/>
    <w:rsid w:val="001A35D4"/>
    <w:rsid w:val="001C0950"/>
    <w:rsid w:val="001C549D"/>
    <w:rsid w:val="001D5DE9"/>
    <w:rsid w:val="001D7F65"/>
    <w:rsid w:val="001E571E"/>
    <w:rsid w:val="001F4302"/>
    <w:rsid w:val="00217BC2"/>
    <w:rsid w:val="0022304F"/>
    <w:rsid w:val="00233CC9"/>
    <w:rsid w:val="0024140D"/>
    <w:rsid w:val="00251F36"/>
    <w:rsid w:val="0025667E"/>
    <w:rsid w:val="0028054D"/>
    <w:rsid w:val="00280FED"/>
    <w:rsid w:val="002A143A"/>
    <w:rsid w:val="002B2708"/>
    <w:rsid w:val="002C6A31"/>
    <w:rsid w:val="002C7860"/>
    <w:rsid w:val="002D62B0"/>
    <w:rsid w:val="002D6835"/>
    <w:rsid w:val="002E318B"/>
    <w:rsid w:val="002E4D84"/>
    <w:rsid w:val="002E6B2B"/>
    <w:rsid w:val="00305821"/>
    <w:rsid w:val="00314A18"/>
    <w:rsid w:val="00322123"/>
    <w:rsid w:val="0032225C"/>
    <w:rsid w:val="00327DF7"/>
    <w:rsid w:val="00344356"/>
    <w:rsid w:val="003507A1"/>
    <w:rsid w:val="00353E2E"/>
    <w:rsid w:val="00357C9E"/>
    <w:rsid w:val="00362370"/>
    <w:rsid w:val="003913C2"/>
    <w:rsid w:val="00391627"/>
    <w:rsid w:val="003930CA"/>
    <w:rsid w:val="00394A1C"/>
    <w:rsid w:val="003A0AE3"/>
    <w:rsid w:val="003B2F9C"/>
    <w:rsid w:val="003C5792"/>
    <w:rsid w:val="003D0866"/>
    <w:rsid w:val="003F267E"/>
    <w:rsid w:val="003F4A04"/>
    <w:rsid w:val="00410F00"/>
    <w:rsid w:val="004271DC"/>
    <w:rsid w:val="00436D3D"/>
    <w:rsid w:val="00447143"/>
    <w:rsid w:val="0046128E"/>
    <w:rsid w:val="0046216A"/>
    <w:rsid w:val="004748A4"/>
    <w:rsid w:val="004953EE"/>
    <w:rsid w:val="004A36F4"/>
    <w:rsid w:val="004A5BDC"/>
    <w:rsid w:val="004A78E7"/>
    <w:rsid w:val="004D28A3"/>
    <w:rsid w:val="004E1FA9"/>
    <w:rsid w:val="00511657"/>
    <w:rsid w:val="0052209D"/>
    <w:rsid w:val="00524AF9"/>
    <w:rsid w:val="005622C1"/>
    <w:rsid w:val="0056253C"/>
    <w:rsid w:val="00562D38"/>
    <w:rsid w:val="00567132"/>
    <w:rsid w:val="0058166F"/>
    <w:rsid w:val="00595607"/>
    <w:rsid w:val="005A02A4"/>
    <w:rsid w:val="005C67A0"/>
    <w:rsid w:val="005E1A08"/>
    <w:rsid w:val="005E7050"/>
    <w:rsid w:val="005F4BDB"/>
    <w:rsid w:val="005F56BC"/>
    <w:rsid w:val="005F6E13"/>
    <w:rsid w:val="005F742D"/>
    <w:rsid w:val="00662FDA"/>
    <w:rsid w:val="00663D18"/>
    <w:rsid w:val="006758A1"/>
    <w:rsid w:val="006B0125"/>
    <w:rsid w:val="006B7747"/>
    <w:rsid w:val="006C1DD1"/>
    <w:rsid w:val="006E1EDA"/>
    <w:rsid w:val="006E756C"/>
    <w:rsid w:val="006F601E"/>
    <w:rsid w:val="00735D45"/>
    <w:rsid w:val="007501B6"/>
    <w:rsid w:val="0075366E"/>
    <w:rsid w:val="0075547D"/>
    <w:rsid w:val="007743E5"/>
    <w:rsid w:val="00785800"/>
    <w:rsid w:val="007879C2"/>
    <w:rsid w:val="00790D62"/>
    <w:rsid w:val="007B36A1"/>
    <w:rsid w:val="007C20D3"/>
    <w:rsid w:val="007D4617"/>
    <w:rsid w:val="00802BD0"/>
    <w:rsid w:val="008041DE"/>
    <w:rsid w:val="00810B88"/>
    <w:rsid w:val="0081605F"/>
    <w:rsid w:val="008303B9"/>
    <w:rsid w:val="008405B5"/>
    <w:rsid w:val="00845621"/>
    <w:rsid w:val="008505A1"/>
    <w:rsid w:val="00852D45"/>
    <w:rsid w:val="008A5818"/>
    <w:rsid w:val="008B7B50"/>
    <w:rsid w:val="008E017D"/>
    <w:rsid w:val="008E4936"/>
    <w:rsid w:val="0090356B"/>
    <w:rsid w:val="009103C6"/>
    <w:rsid w:val="009108D7"/>
    <w:rsid w:val="009155F8"/>
    <w:rsid w:val="00920629"/>
    <w:rsid w:val="00933779"/>
    <w:rsid w:val="00953D2A"/>
    <w:rsid w:val="00965E6E"/>
    <w:rsid w:val="00970DCC"/>
    <w:rsid w:val="00984D14"/>
    <w:rsid w:val="009F46E4"/>
    <w:rsid w:val="00A32DA9"/>
    <w:rsid w:val="00A43E8B"/>
    <w:rsid w:val="00A57972"/>
    <w:rsid w:val="00A62A94"/>
    <w:rsid w:val="00A83F16"/>
    <w:rsid w:val="00AC7A1B"/>
    <w:rsid w:val="00AD1619"/>
    <w:rsid w:val="00AD7433"/>
    <w:rsid w:val="00AE2906"/>
    <w:rsid w:val="00AE2F7D"/>
    <w:rsid w:val="00AE7FBB"/>
    <w:rsid w:val="00B22CD3"/>
    <w:rsid w:val="00B7659C"/>
    <w:rsid w:val="00B903B3"/>
    <w:rsid w:val="00BB46B1"/>
    <w:rsid w:val="00BB48A4"/>
    <w:rsid w:val="00BC64C6"/>
    <w:rsid w:val="00BD4AB8"/>
    <w:rsid w:val="00BD6FE6"/>
    <w:rsid w:val="00BE0053"/>
    <w:rsid w:val="00BE1BFF"/>
    <w:rsid w:val="00C07FEA"/>
    <w:rsid w:val="00C1169E"/>
    <w:rsid w:val="00C16B48"/>
    <w:rsid w:val="00C3652C"/>
    <w:rsid w:val="00C407D1"/>
    <w:rsid w:val="00C4343E"/>
    <w:rsid w:val="00C43B0D"/>
    <w:rsid w:val="00C63E5E"/>
    <w:rsid w:val="00CA145D"/>
    <w:rsid w:val="00CA1BDB"/>
    <w:rsid w:val="00CB4041"/>
    <w:rsid w:val="00CF4231"/>
    <w:rsid w:val="00D056E2"/>
    <w:rsid w:val="00D0669A"/>
    <w:rsid w:val="00D07BAA"/>
    <w:rsid w:val="00D64117"/>
    <w:rsid w:val="00D70441"/>
    <w:rsid w:val="00DB4923"/>
    <w:rsid w:val="00DC1B05"/>
    <w:rsid w:val="00DC29DD"/>
    <w:rsid w:val="00DE23A4"/>
    <w:rsid w:val="00E07B67"/>
    <w:rsid w:val="00E25231"/>
    <w:rsid w:val="00E27D8B"/>
    <w:rsid w:val="00E342EE"/>
    <w:rsid w:val="00E71B9C"/>
    <w:rsid w:val="00E90E3C"/>
    <w:rsid w:val="00EB69CE"/>
    <w:rsid w:val="00F01246"/>
    <w:rsid w:val="00F07A23"/>
    <w:rsid w:val="00F410A7"/>
    <w:rsid w:val="00F607BC"/>
    <w:rsid w:val="00F70292"/>
    <w:rsid w:val="00F80C06"/>
    <w:rsid w:val="00F9580B"/>
    <w:rsid w:val="00F97CEA"/>
    <w:rsid w:val="00FA1C66"/>
    <w:rsid w:val="00FB68A4"/>
    <w:rsid w:val="00FE56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847E1"/>
  <w14:defaultImageDpi w14:val="300"/>
  <w15:docId w15:val="{7A1C697F-56E2-4D55-A2EE-748BF438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04"/>
    <w:pPr>
      <w:widowControl w:val="0"/>
      <w:autoSpaceDE w:val="0"/>
      <w:autoSpaceDN w:val="0"/>
      <w:adjustRightInd w:val="0"/>
      <w:spacing w:after="170" w:line="288" w:lineRule="auto"/>
      <w:textAlignment w:val="center"/>
    </w:pPr>
    <w:rPr>
      <w:rFonts w:ascii="ArialMT" w:hAnsi="ArialMT" w:cs="ArialMT"/>
      <w:color w:val="000000"/>
      <w:sz w:val="22"/>
      <w:szCs w:val="22"/>
      <w:lang w:val="en-GB"/>
    </w:rPr>
  </w:style>
  <w:style w:type="paragraph" w:styleId="Heading1">
    <w:name w:val="heading 1"/>
    <w:basedOn w:val="BasicParagraph"/>
    <w:next w:val="Normal"/>
    <w:link w:val="Heading1Char"/>
    <w:uiPriority w:val="9"/>
    <w:qFormat/>
    <w:rsid w:val="00C1169E"/>
    <w:pPr>
      <w:outlineLvl w:val="0"/>
    </w:pPr>
    <w:rPr>
      <w:rFonts w:ascii="Arial-BoldMT" w:hAnsi="Arial-BoldMT" w:cs="Arial-BoldMT"/>
      <w:b/>
      <w:bCs/>
      <w:color w:val="103A61"/>
      <w:sz w:val="52"/>
      <w:szCs w:val="52"/>
    </w:rPr>
  </w:style>
  <w:style w:type="paragraph" w:styleId="Heading2">
    <w:name w:val="heading 2"/>
    <w:basedOn w:val="Normal"/>
    <w:next w:val="Normal"/>
    <w:link w:val="Heading2Char"/>
    <w:uiPriority w:val="9"/>
    <w:unhideWhenUsed/>
    <w:qFormat/>
    <w:rsid w:val="00C1169E"/>
    <w:pPr>
      <w:outlineLvl w:val="1"/>
    </w:pPr>
    <w:rPr>
      <w:b/>
      <w:color w:val="00938B"/>
      <w:sz w:val="32"/>
      <w:szCs w:val="32"/>
    </w:rPr>
  </w:style>
  <w:style w:type="paragraph" w:styleId="Heading3">
    <w:name w:val="heading 3"/>
    <w:basedOn w:val="Heading2"/>
    <w:next w:val="Normal"/>
    <w:link w:val="Heading3Char"/>
    <w:uiPriority w:val="9"/>
    <w:unhideWhenUsed/>
    <w:qFormat/>
    <w:rsid w:val="003F4A04"/>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TableStyle">
    <w:name w:val="A Table Style"/>
    <w:basedOn w:val="TableNormal"/>
    <w:uiPriority w:val="99"/>
    <w:rsid w:val="00090187"/>
    <w:rPr>
      <w:rFonts w:ascii="Arial" w:hAnsi="Arial"/>
      <w:sz w:val="18"/>
      <w:szCs w:val="18"/>
    </w:rPr>
    <w:tblPr>
      <w:tblBorders>
        <w:top w:val="single" w:sz="4" w:space="0" w:color="26BEE7"/>
        <w:bottom w:val="single" w:sz="4" w:space="0" w:color="26BEE7"/>
        <w:insideH w:val="single" w:sz="4" w:space="0" w:color="26BEE7"/>
      </w:tblBorders>
      <w:tblCellMar>
        <w:top w:w="57" w:type="dxa"/>
        <w:bottom w:w="57" w:type="dxa"/>
      </w:tblCellMar>
    </w:tblPr>
    <w:tblStylePr w:type="firstRow">
      <w:rPr>
        <w:rFonts w:ascii="Arial" w:hAnsi="Arial"/>
        <w:b/>
        <w:i w:val="0"/>
        <w:color w:val="FFFFFF"/>
        <w:sz w:val="18"/>
      </w:rPr>
      <w:tblPr/>
      <w:tcPr>
        <w:shd w:val="clear" w:color="auto" w:fill="26BEE7"/>
      </w:tcPr>
    </w:tblStylePr>
    <w:tblStylePr w:type="lastRow">
      <w:tblPr/>
      <w:tcPr>
        <w:shd w:val="clear" w:color="auto" w:fill="DAEEF3"/>
      </w:tcPr>
    </w:tblStylePr>
  </w:style>
  <w:style w:type="paragraph" w:styleId="BalloonText">
    <w:name w:val="Balloon Text"/>
    <w:basedOn w:val="Normal"/>
    <w:link w:val="BalloonTextChar"/>
    <w:uiPriority w:val="99"/>
    <w:semiHidden/>
    <w:unhideWhenUsed/>
    <w:rsid w:val="00217BC2"/>
    <w:rPr>
      <w:rFonts w:ascii="Lucida Grande" w:hAnsi="Lucida Grande"/>
      <w:sz w:val="18"/>
      <w:szCs w:val="18"/>
    </w:rPr>
  </w:style>
  <w:style w:type="character" w:customStyle="1" w:styleId="BalloonTextChar">
    <w:name w:val="Balloon Text Char"/>
    <w:link w:val="BalloonText"/>
    <w:uiPriority w:val="99"/>
    <w:semiHidden/>
    <w:rsid w:val="00217BC2"/>
    <w:rPr>
      <w:rFonts w:ascii="Lucida Grande" w:hAnsi="Lucida Grande"/>
      <w:sz w:val="18"/>
      <w:szCs w:val="18"/>
    </w:rPr>
  </w:style>
  <w:style w:type="paragraph" w:styleId="Header">
    <w:name w:val="header"/>
    <w:basedOn w:val="Normal"/>
    <w:link w:val="HeaderChar"/>
    <w:uiPriority w:val="99"/>
    <w:unhideWhenUsed/>
    <w:rsid w:val="008B7B50"/>
    <w:pPr>
      <w:tabs>
        <w:tab w:val="center" w:pos="4320"/>
        <w:tab w:val="right" w:pos="8640"/>
      </w:tabs>
    </w:pPr>
  </w:style>
  <w:style w:type="character" w:customStyle="1" w:styleId="HeaderChar">
    <w:name w:val="Header Char"/>
    <w:basedOn w:val="DefaultParagraphFont"/>
    <w:link w:val="Header"/>
    <w:uiPriority w:val="99"/>
    <w:rsid w:val="008B7B50"/>
  </w:style>
  <w:style w:type="paragraph" w:styleId="Footer">
    <w:name w:val="footer"/>
    <w:basedOn w:val="Normal"/>
    <w:link w:val="FooterChar"/>
    <w:uiPriority w:val="99"/>
    <w:unhideWhenUsed/>
    <w:rsid w:val="008B7B50"/>
    <w:pPr>
      <w:tabs>
        <w:tab w:val="center" w:pos="4320"/>
        <w:tab w:val="right" w:pos="8640"/>
      </w:tabs>
    </w:pPr>
  </w:style>
  <w:style w:type="character" w:customStyle="1" w:styleId="FooterChar">
    <w:name w:val="Footer Char"/>
    <w:basedOn w:val="DefaultParagraphFont"/>
    <w:link w:val="Footer"/>
    <w:uiPriority w:val="99"/>
    <w:rsid w:val="008B7B50"/>
  </w:style>
  <w:style w:type="character" w:styleId="PageNumber">
    <w:name w:val="page number"/>
    <w:basedOn w:val="DefaultParagraphFont"/>
    <w:uiPriority w:val="99"/>
    <w:semiHidden/>
    <w:unhideWhenUsed/>
    <w:rsid w:val="008B7B50"/>
  </w:style>
  <w:style w:type="paragraph" w:customStyle="1" w:styleId="BasicParagraph">
    <w:name w:val="[Basic Paragraph]"/>
    <w:basedOn w:val="Normal"/>
    <w:uiPriority w:val="99"/>
    <w:rsid w:val="003F4A04"/>
    <w:rPr>
      <w:rFonts w:ascii="MinionPro-Regular" w:hAnsi="MinionPro-Regular" w:cs="MinionPro-Regular"/>
    </w:rPr>
  </w:style>
  <w:style w:type="character" w:customStyle="1" w:styleId="Heading1Char">
    <w:name w:val="Heading 1 Char"/>
    <w:link w:val="Heading1"/>
    <w:uiPriority w:val="9"/>
    <w:rsid w:val="00C1169E"/>
    <w:rPr>
      <w:rFonts w:ascii="Arial-BoldMT" w:hAnsi="Arial-BoldMT" w:cs="Arial-BoldMT"/>
      <w:b/>
      <w:bCs/>
      <w:color w:val="103A61"/>
      <w:sz w:val="52"/>
      <w:szCs w:val="52"/>
      <w:lang w:val="en-GB"/>
    </w:rPr>
  </w:style>
  <w:style w:type="character" w:customStyle="1" w:styleId="Heading2Char">
    <w:name w:val="Heading 2 Char"/>
    <w:link w:val="Heading2"/>
    <w:uiPriority w:val="9"/>
    <w:rsid w:val="00C1169E"/>
    <w:rPr>
      <w:rFonts w:ascii="ArialMT" w:hAnsi="ArialMT" w:cs="ArialMT"/>
      <w:b/>
      <w:color w:val="00938B"/>
      <w:sz w:val="32"/>
      <w:szCs w:val="32"/>
      <w:lang w:val="en-GB"/>
    </w:rPr>
  </w:style>
  <w:style w:type="character" w:customStyle="1" w:styleId="Heading3Char">
    <w:name w:val="Heading 3 Char"/>
    <w:link w:val="Heading3"/>
    <w:uiPriority w:val="9"/>
    <w:rsid w:val="003F4A04"/>
    <w:rPr>
      <w:rFonts w:ascii="ArialMT" w:hAnsi="ArialMT" w:cs="ArialMT"/>
      <w:b/>
      <w:i/>
      <w:color w:val="CA3425"/>
      <w:sz w:val="32"/>
      <w:szCs w:val="32"/>
      <w:lang w:val="en-GB"/>
    </w:rPr>
  </w:style>
  <w:style w:type="paragraph" w:customStyle="1" w:styleId="Titlepageheading">
    <w:name w:val="Title page heading"/>
    <w:basedOn w:val="Heading1"/>
    <w:qFormat/>
    <w:rsid w:val="003F4A04"/>
    <w:rPr>
      <w:color w:val="FFFFFF"/>
      <w:sz w:val="100"/>
      <w:szCs w:val="100"/>
    </w:rPr>
  </w:style>
  <w:style w:type="table" w:styleId="TableGrid">
    <w:name w:val="Table Grid"/>
    <w:basedOn w:val="TableNormal"/>
    <w:uiPriority w:val="59"/>
    <w:rsid w:val="009F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0C06"/>
    <w:pPr>
      <w:ind w:left="720"/>
      <w:contextualSpacing/>
    </w:pPr>
  </w:style>
  <w:style w:type="character" w:styleId="CommentReference">
    <w:name w:val="annotation reference"/>
    <w:basedOn w:val="DefaultParagraphFont"/>
    <w:uiPriority w:val="99"/>
    <w:semiHidden/>
    <w:unhideWhenUsed/>
    <w:rsid w:val="00AE7FBB"/>
    <w:rPr>
      <w:sz w:val="16"/>
      <w:szCs w:val="16"/>
    </w:rPr>
  </w:style>
  <w:style w:type="paragraph" w:styleId="CommentText">
    <w:name w:val="annotation text"/>
    <w:basedOn w:val="Normal"/>
    <w:link w:val="CommentTextChar"/>
    <w:uiPriority w:val="99"/>
    <w:unhideWhenUsed/>
    <w:rsid w:val="00AE7FBB"/>
    <w:pPr>
      <w:spacing w:line="240" w:lineRule="auto"/>
    </w:pPr>
    <w:rPr>
      <w:sz w:val="20"/>
      <w:szCs w:val="20"/>
    </w:rPr>
  </w:style>
  <w:style w:type="character" w:customStyle="1" w:styleId="CommentTextChar">
    <w:name w:val="Comment Text Char"/>
    <w:basedOn w:val="DefaultParagraphFont"/>
    <w:link w:val="CommentText"/>
    <w:uiPriority w:val="99"/>
    <w:rsid w:val="00AE7FBB"/>
    <w:rPr>
      <w:rFonts w:ascii="ArialMT" w:hAnsi="ArialMT" w:cs="ArialMT"/>
      <w:color w:val="000000"/>
      <w:lang w:val="en-GB"/>
    </w:rPr>
  </w:style>
  <w:style w:type="paragraph" w:styleId="CommentSubject">
    <w:name w:val="annotation subject"/>
    <w:basedOn w:val="CommentText"/>
    <w:next w:val="CommentText"/>
    <w:link w:val="CommentSubjectChar"/>
    <w:uiPriority w:val="99"/>
    <w:semiHidden/>
    <w:unhideWhenUsed/>
    <w:rsid w:val="00AE7FBB"/>
    <w:rPr>
      <w:b/>
      <w:bCs/>
    </w:rPr>
  </w:style>
  <w:style w:type="character" w:customStyle="1" w:styleId="CommentSubjectChar">
    <w:name w:val="Comment Subject Char"/>
    <w:basedOn w:val="CommentTextChar"/>
    <w:link w:val="CommentSubject"/>
    <w:uiPriority w:val="99"/>
    <w:semiHidden/>
    <w:rsid w:val="00AE7FBB"/>
    <w:rPr>
      <w:rFonts w:ascii="ArialMT" w:hAnsi="ArialMT" w:cs="ArialMT"/>
      <w:b/>
      <w:bCs/>
      <w:color w:val="000000"/>
      <w:lang w:val="en-GB"/>
    </w:rPr>
  </w:style>
  <w:style w:type="character" w:customStyle="1" w:styleId="ListParagraphChar">
    <w:name w:val="List Paragraph Char"/>
    <w:basedOn w:val="DefaultParagraphFont"/>
    <w:link w:val="ListParagraph"/>
    <w:uiPriority w:val="34"/>
    <w:rsid w:val="0075547D"/>
    <w:rPr>
      <w:rFonts w:ascii="ArialMT" w:hAnsi="ArialMT" w:cs="ArialMT"/>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6554">
      <w:bodyDiv w:val="1"/>
      <w:marLeft w:val="0"/>
      <w:marRight w:val="0"/>
      <w:marTop w:val="0"/>
      <w:marBottom w:val="0"/>
      <w:divBdr>
        <w:top w:val="none" w:sz="0" w:space="0" w:color="auto"/>
        <w:left w:val="none" w:sz="0" w:space="0" w:color="auto"/>
        <w:bottom w:val="none" w:sz="0" w:space="0" w:color="auto"/>
        <w:right w:val="none" w:sz="0" w:space="0" w:color="auto"/>
      </w:divBdr>
    </w:div>
    <w:div w:id="268439327">
      <w:bodyDiv w:val="1"/>
      <w:marLeft w:val="0"/>
      <w:marRight w:val="0"/>
      <w:marTop w:val="0"/>
      <w:marBottom w:val="0"/>
      <w:divBdr>
        <w:top w:val="none" w:sz="0" w:space="0" w:color="auto"/>
        <w:left w:val="none" w:sz="0" w:space="0" w:color="auto"/>
        <w:bottom w:val="none" w:sz="0" w:space="0" w:color="auto"/>
        <w:right w:val="none" w:sz="0" w:space="0" w:color="auto"/>
      </w:divBdr>
    </w:div>
    <w:div w:id="538737771">
      <w:bodyDiv w:val="1"/>
      <w:marLeft w:val="0"/>
      <w:marRight w:val="0"/>
      <w:marTop w:val="0"/>
      <w:marBottom w:val="0"/>
      <w:divBdr>
        <w:top w:val="none" w:sz="0" w:space="0" w:color="auto"/>
        <w:left w:val="none" w:sz="0" w:space="0" w:color="auto"/>
        <w:bottom w:val="none" w:sz="0" w:space="0" w:color="auto"/>
        <w:right w:val="none" w:sz="0" w:space="0" w:color="auto"/>
      </w:divBdr>
    </w:div>
    <w:div w:id="626853759">
      <w:bodyDiv w:val="1"/>
      <w:marLeft w:val="0"/>
      <w:marRight w:val="0"/>
      <w:marTop w:val="0"/>
      <w:marBottom w:val="0"/>
      <w:divBdr>
        <w:top w:val="none" w:sz="0" w:space="0" w:color="auto"/>
        <w:left w:val="none" w:sz="0" w:space="0" w:color="auto"/>
        <w:bottom w:val="none" w:sz="0" w:space="0" w:color="auto"/>
        <w:right w:val="none" w:sz="0" w:space="0" w:color="auto"/>
      </w:divBdr>
    </w:div>
    <w:div w:id="651641804">
      <w:bodyDiv w:val="1"/>
      <w:marLeft w:val="0"/>
      <w:marRight w:val="0"/>
      <w:marTop w:val="0"/>
      <w:marBottom w:val="0"/>
      <w:divBdr>
        <w:top w:val="none" w:sz="0" w:space="0" w:color="auto"/>
        <w:left w:val="none" w:sz="0" w:space="0" w:color="auto"/>
        <w:bottom w:val="none" w:sz="0" w:space="0" w:color="auto"/>
        <w:right w:val="none" w:sz="0" w:space="0" w:color="auto"/>
      </w:divBdr>
    </w:div>
    <w:div w:id="1213687379">
      <w:bodyDiv w:val="1"/>
      <w:marLeft w:val="0"/>
      <w:marRight w:val="0"/>
      <w:marTop w:val="0"/>
      <w:marBottom w:val="0"/>
      <w:divBdr>
        <w:top w:val="none" w:sz="0" w:space="0" w:color="auto"/>
        <w:left w:val="none" w:sz="0" w:space="0" w:color="auto"/>
        <w:bottom w:val="none" w:sz="0" w:space="0" w:color="auto"/>
        <w:right w:val="none" w:sz="0" w:space="0" w:color="auto"/>
      </w:divBdr>
    </w:div>
    <w:div w:id="1517227303">
      <w:bodyDiv w:val="1"/>
      <w:marLeft w:val="0"/>
      <w:marRight w:val="0"/>
      <w:marTop w:val="0"/>
      <w:marBottom w:val="0"/>
      <w:divBdr>
        <w:top w:val="none" w:sz="0" w:space="0" w:color="auto"/>
        <w:left w:val="none" w:sz="0" w:space="0" w:color="auto"/>
        <w:bottom w:val="none" w:sz="0" w:space="0" w:color="auto"/>
        <w:right w:val="none" w:sz="0" w:space="0" w:color="auto"/>
      </w:divBdr>
    </w:div>
    <w:div w:id="1548689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dba069051a774235"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ibbo\AppData\Local\Temp\Temp1_Corporate%20word%20documents%20and%20powerpoint%20templates%20(A5442632).zip\2018.12.07_ppt%20and%20word%20templates\Word%20Templates\DAN1048_Word_Template_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A11543125</value>
    </field>
    <field name="Objective-Title">
      <value order="0">CGD Procurement - QRG03 - CPI</value>
    </field>
    <field name="Objective-Description">
      <value order="0">Procurement Guidelines 2024</value>
    </field>
    <field name="Objective-CreationStamp">
      <value order="0">2024-11-27T05:08:34Z</value>
    </field>
    <field name="Objective-IsApproved">
      <value order="0">false</value>
    </field>
    <field name="Objective-IsPublished">
      <value order="0">true</value>
    </field>
    <field name="Objective-DatePublished">
      <value order="0">2024-11-27T05:08:36Z</value>
    </field>
    <field name="Objective-ModificationStamp">
      <value order="0">2025-05-01T04:25:28Z</value>
    </field>
    <field name="Objective-Owner">
      <value order="0">Kosta Tzim</value>
    </field>
    <field name="Objective-Path">
      <value order="0">Objective Global Folder:.Policies and Procedures Folders:Procurement procedures and guidelines:Procurement Guidelines for Business View</value>
    </field>
    <field name="Objective-Parent">
      <value order="0">Procurement Guidelines for Business View</value>
    </field>
    <field name="Objective-State">
      <value order="0">Published</value>
    </field>
    <field name="Objective-VersionId">
      <value order="0">vA14584319</value>
    </field>
    <field name="Objective-Version">
      <value order="0">1.0</value>
    </field>
    <field name="Objective-VersionNumber">
      <value order="0">1</value>
    </field>
    <field name="Objective-VersionComment">
      <value order="0"/>
    </field>
    <field name="Objective-FileNumber">
      <value order="0">qA542915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DAN1048_Word_Template_5</Template>
  <TotalTime>12</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Twelve Creative</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 Sia</dc:creator>
  <cp:keywords/>
  <dc:description/>
  <cp:lastModifiedBy>Kosta Tzim</cp:lastModifiedBy>
  <cp:revision>11</cp:revision>
  <cp:lastPrinted>2024-10-15T21:43:00Z</cp:lastPrinted>
  <dcterms:created xsi:type="dcterms:W3CDTF">2024-10-27T22:55:00Z</dcterms:created>
  <dcterms:modified xsi:type="dcterms:W3CDTF">2024-11-18T05:47:00Z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A11543125</vt:lpwstr>
  </property>
  <property fmtid="{D5CDD505-2E9C-101B-9397-08002B2CF9AE}" pid="4" name="Objective-Title">
    <vt:lpwstr>CGD Procurement - QRG03 - CPI</vt:lpwstr>
  </property>
  <property fmtid="{D5CDD505-2E9C-101B-9397-08002B2CF9AE}" pid="5" name="Objective-Description">
    <vt:lpwstr>Procurement Guidelines 2024</vt:lpwstr>
  </property>
  <property fmtid="{D5CDD505-2E9C-101B-9397-08002B2CF9AE}" pid="6" name="Objective-CreationStamp">
    <vt:filetime>2024-11-27T05:08:34Z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2024-11-27T05:08:36Z</vt:filetime>
  </property>
  <property fmtid="{D5CDD505-2E9C-101B-9397-08002B2CF9AE}" pid="10" name="Objective-ModificationStamp">
    <vt:filetime>2025-05-01T04:25:28Z</vt:filetime>
  </property>
  <property fmtid="{D5CDD505-2E9C-101B-9397-08002B2CF9AE}" pid="11" name="Objective-Owner">
    <vt:lpwstr>Kosta Tzim</vt:lpwstr>
  </property>
  <property fmtid="{D5CDD505-2E9C-101B-9397-08002B2CF9AE}" pid="12" name="Objective-Path">
    <vt:lpwstr>Objective Global Folder:.Policies and Procedures Folders:Procurement procedures and guidelines:Procurement Guidelines for Business View</vt:lpwstr>
  </property>
  <property fmtid="{D5CDD505-2E9C-101B-9397-08002B2CF9AE}" pid="13" name="Objective-Parent">
    <vt:lpwstr>Procurement Guidelines for Business View</vt:lpwstr>
  </property>
  <property fmtid="{D5CDD505-2E9C-101B-9397-08002B2CF9AE}" pid="14" name="Objective-State">
    <vt:lpwstr>Published</vt:lpwstr>
  </property>
  <property fmtid="{D5CDD505-2E9C-101B-9397-08002B2CF9AE}" pid="15" name="Objective-VersionId">
    <vt:lpwstr>vA14584319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qA542915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