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041DE" w:rsidRDefault="008041DE" w14:paraId="29D3B956" w14:textId="77777777"/>
    <w:p w:rsidR="008041DE" w:rsidP="008041DE" w:rsidRDefault="005A02A4" w14:paraId="2B43D062" w14:textId="2B416E6B">
      <w:pPr>
        <w:pStyle w:val="Heading1"/>
      </w:pPr>
      <w:r>
        <w:t>Exemptions</w:t>
      </w:r>
    </w:p>
    <w:p w:rsidRPr="00F70292" w:rsidR="00F70292" w:rsidP="008303B9" w:rsidRDefault="00F70292" w14:paraId="72CE7462" w14:textId="77777777">
      <w:pPr>
        <w:spacing w:after="0"/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786"/>
        <w:gridCol w:w="1393"/>
        <w:gridCol w:w="1393"/>
        <w:gridCol w:w="2787"/>
      </w:tblGrid>
      <w:tr w:rsidRPr="000D5AF0" w:rsidR="00091955" w:rsidTr="00091955" w14:paraId="0CB64A97" w14:textId="20B249ED">
        <w:tc>
          <w:tcPr>
            <w:tcW w:w="4179" w:type="dxa"/>
            <w:gridSpan w:val="2"/>
            <w:vAlign w:val="center"/>
          </w:tcPr>
          <w:p w:rsidRPr="000D5AF0" w:rsidR="00091955" w:rsidP="00F70292" w:rsidRDefault="00091955" w14:paraId="44E8BF7A" w14:textId="772DBC7B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Quick Reference Guide No.</w:t>
            </w:r>
          </w:p>
        </w:tc>
        <w:tc>
          <w:tcPr>
            <w:tcW w:w="4180" w:type="dxa"/>
            <w:gridSpan w:val="2"/>
          </w:tcPr>
          <w:p w:rsidRPr="000D5AF0" w:rsidR="00091955" w:rsidP="00F70292" w:rsidRDefault="00091955" w14:paraId="72CABF58" w14:textId="59998622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b w:val="0"/>
                <w:bCs w:val="0"/>
                <w:sz w:val="22"/>
                <w:szCs w:val="22"/>
              </w:rPr>
              <w:t>QRG-0</w:t>
            </w:r>
            <w:r w:rsidR="005A02A4">
              <w:rPr>
                <w:b w:val="0"/>
                <w:bCs w:val="0"/>
                <w:sz w:val="22"/>
                <w:szCs w:val="22"/>
              </w:rPr>
              <w:t>2</w:t>
            </w:r>
          </w:p>
        </w:tc>
      </w:tr>
      <w:tr w:rsidRPr="000D5AF0" w:rsidR="00091955" w:rsidTr="00091955" w14:paraId="327B02F4" w14:textId="77777777">
        <w:tc>
          <w:tcPr>
            <w:tcW w:w="4179" w:type="dxa"/>
            <w:gridSpan w:val="2"/>
            <w:vAlign w:val="center"/>
          </w:tcPr>
          <w:p w:rsidRPr="000D5AF0" w:rsidR="00091955" w:rsidP="00F70292" w:rsidRDefault="00091955" w14:paraId="0706B25C" w14:textId="4F27CCF4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Quick Reference Guide Name</w:t>
            </w:r>
          </w:p>
        </w:tc>
        <w:tc>
          <w:tcPr>
            <w:tcW w:w="4180" w:type="dxa"/>
            <w:gridSpan w:val="2"/>
          </w:tcPr>
          <w:p w:rsidRPr="000D5AF0" w:rsidR="00091955" w:rsidP="00F70292" w:rsidRDefault="005A02A4" w14:paraId="32639C96" w14:textId="7C273233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Exemptions</w:t>
            </w:r>
          </w:p>
        </w:tc>
      </w:tr>
      <w:tr w:rsidRPr="000D5AF0" w:rsidR="00091955" w:rsidTr="00091955" w14:paraId="2E55CC66" w14:textId="25157153">
        <w:tc>
          <w:tcPr>
            <w:tcW w:w="4179" w:type="dxa"/>
            <w:gridSpan w:val="2"/>
            <w:vAlign w:val="center"/>
          </w:tcPr>
          <w:p w:rsidRPr="000D5AF0" w:rsidR="00091955" w:rsidP="00F70292" w:rsidRDefault="00091955" w14:paraId="28043EA8" w14:textId="47F53497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Quick Reference Guide Owner</w:t>
            </w:r>
          </w:p>
        </w:tc>
        <w:tc>
          <w:tcPr>
            <w:tcW w:w="4180" w:type="dxa"/>
            <w:gridSpan w:val="2"/>
          </w:tcPr>
          <w:p w:rsidRPr="000D5AF0" w:rsidR="00091955" w:rsidP="00F70292" w:rsidRDefault="00091955" w14:paraId="42A939D8" w14:textId="26F53523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b w:val="0"/>
                <w:bCs w:val="0"/>
                <w:sz w:val="22"/>
                <w:szCs w:val="22"/>
              </w:rPr>
              <w:t>Procurement Manager</w:t>
            </w:r>
          </w:p>
        </w:tc>
      </w:tr>
      <w:tr w:rsidRPr="000D5AF0" w:rsidR="00091955" w:rsidTr="00091955" w14:paraId="798A8101" w14:textId="77777777">
        <w:trPr>
          <w:trHeight w:val="218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:rsidRPr="000D5AF0" w:rsidR="00091955" w:rsidP="00F70292" w:rsidRDefault="00091955" w14:paraId="386E4644" w14:textId="45E47CB0">
            <w:pPr>
              <w:pStyle w:val="Heading1"/>
              <w:spacing w:after="0"/>
              <w:rPr>
                <w:sz w:val="22"/>
                <w:szCs w:val="22"/>
              </w:rPr>
            </w:pPr>
          </w:p>
        </w:tc>
      </w:tr>
      <w:tr w:rsidRPr="000D5AF0" w:rsidR="00091955" w:rsidTr="00091955" w14:paraId="1D16C133" w14:textId="7E8678D5">
        <w:tc>
          <w:tcPr>
            <w:tcW w:w="2786" w:type="dxa"/>
            <w:vAlign w:val="center"/>
          </w:tcPr>
          <w:p w:rsidRPr="000D5AF0" w:rsidR="00091955" w:rsidP="00F70292" w:rsidRDefault="00091955" w14:paraId="4F93A0FA" w14:textId="41D54D89">
            <w:pPr>
              <w:pStyle w:val="Heading1"/>
              <w:spacing w:after="0"/>
              <w:jc w:val="center"/>
              <w:rPr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Version No.</w:t>
            </w:r>
          </w:p>
        </w:tc>
        <w:tc>
          <w:tcPr>
            <w:tcW w:w="2786" w:type="dxa"/>
            <w:gridSpan w:val="2"/>
          </w:tcPr>
          <w:p w:rsidRPr="000D5AF0" w:rsidR="00091955" w:rsidP="00F70292" w:rsidRDefault="00091955" w14:paraId="091B8829" w14:textId="5B43F43A">
            <w:pPr>
              <w:pStyle w:val="Heading1"/>
              <w:spacing w:after="0"/>
              <w:jc w:val="center"/>
              <w:rPr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Status</w:t>
            </w:r>
          </w:p>
        </w:tc>
        <w:tc>
          <w:tcPr>
            <w:tcW w:w="2787" w:type="dxa"/>
            <w:vAlign w:val="center"/>
          </w:tcPr>
          <w:p w:rsidRPr="000D5AF0" w:rsidR="00091955" w:rsidP="00F70292" w:rsidRDefault="00091955" w14:paraId="07D67FB0" w14:textId="5C3F7294">
            <w:pPr>
              <w:pStyle w:val="Heading1"/>
              <w:spacing w:after="0"/>
              <w:jc w:val="center"/>
              <w:rPr>
                <w:sz w:val="22"/>
                <w:szCs w:val="22"/>
              </w:rPr>
            </w:pPr>
            <w:r w:rsidRPr="000D5AF0">
              <w:rPr>
                <w:sz w:val="22"/>
                <w:szCs w:val="22"/>
              </w:rPr>
              <w:t>Issue Date</w:t>
            </w:r>
          </w:p>
        </w:tc>
      </w:tr>
      <w:tr w:rsidRPr="000D5AF0" w:rsidR="00091955" w:rsidTr="00091955" w14:paraId="3A1370DA" w14:textId="0B473B6C">
        <w:tc>
          <w:tcPr>
            <w:tcW w:w="2786" w:type="dxa"/>
            <w:vAlign w:val="center"/>
          </w:tcPr>
          <w:p w:rsidRPr="000D5AF0" w:rsidR="00091955" w:rsidP="00F70292" w:rsidRDefault="00091955" w14:paraId="4EBCF964" w14:textId="22ADC9E6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0D5AF0">
              <w:rPr>
                <w:b w:val="0"/>
                <w:bCs w:val="0"/>
                <w:sz w:val="22"/>
                <w:szCs w:val="22"/>
              </w:rPr>
              <w:t>0.1</w:t>
            </w:r>
          </w:p>
        </w:tc>
        <w:tc>
          <w:tcPr>
            <w:tcW w:w="2786" w:type="dxa"/>
            <w:gridSpan w:val="2"/>
          </w:tcPr>
          <w:p w:rsidRPr="000D5AF0" w:rsidR="00091955" w:rsidP="00F70292" w:rsidRDefault="005C01D7" w14:paraId="31AFAFAA" w14:textId="48A3594C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Current</w:t>
            </w:r>
          </w:p>
        </w:tc>
        <w:tc>
          <w:tcPr>
            <w:tcW w:w="2787" w:type="dxa"/>
            <w:vAlign w:val="center"/>
          </w:tcPr>
          <w:p w:rsidRPr="000D5AF0" w:rsidR="00091955" w:rsidP="00F70292" w:rsidRDefault="00280FED" w14:paraId="46BF54DB" w14:textId="42526BCE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  <w:r w:rsidRPr="000D5AF0" w:rsidR="0009195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A02A4">
              <w:rPr>
                <w:b w:val="0"/>
                <w:bCs w:val="0"/>
                <w:sz w:val="22"/>
                <w:szCs w:val="22"/>
              </w:rPr>
              <w:t>September</w:t>
            </w:r>
            <w:r w:rsidRPr="000D5AF0" w:rsidR="00091955">
              <w:rPr>
                <w:b w:val="0"/>
                <w:bCs w:val="0"/>
                <w:sz w:val="22"/>
                <w:szCs w:val="22"/>
              </w:rPr>
              <w:t xml:space="preserve"> 2024</w:t>
            </w:r>
          </w:p>
        </w:tc>
      </w:tr>
      <w:tr w:rsidRPr="000D5AF0" w:rsidR="00091955" w:rsidTr="00091955" w14:paraId="4526ABE7" w14:textId="77777777">
        <w:tc>
          <w:tcPr>
            <w:tcW w:w="2786" w:type="dxa"/>
            <w:vAlign w:val="center"/>
          </w:tcPr>
          <w:p w:rsidRPr="000D5AF0" w:rsidR="00091955" w:rsidP="00F70292" w:rsidRDefault="00091955" w14:paraId="7ABD28E1" w14:textId="77777777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6" w:type="dxa"/>
            <w:gridSpan w:val="2"/>
          </w:tcPr>
          <w:p w:rsidRPr="000D5AF0" w:rsidR="00091955" w:rsidP="00F70292" w:rsidRDefault="00091955" w14:paraId="6E6EB3B1" w14:textId="77777777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7" w:type="dxa"/>
            <w:vAlign w:val="center"/>
          </w:tcPr>
          <w:p w:rsidRPr="000D5AF0" w:rsidR="00091955" w:rsidP="00F70292" w:rsidRDefault="00091955" w14:paraId="45D6311B" w14:textId="3BF2D8AA">
            <w:pPr>
              <w:pStyle w:val="Heading1"/>
              <w:spacing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F70292" w:rsidP="00F70292" w:rsidRDefault="00F70292" w14:paraId="1930358D" w14:textId="0304AF7B"/>
    <w:p w:rsidRPr="008303B9" w:rsidR="00F80C06" w:rsidP="00F80C06" w:rsidRDefault="00F80C06" w14:paraId="2402C904" w14:textId="400903F8">
      <w:pPr>
        <w:pStyle w:val="Heading2"/>
      </w:pPr>
      <w:r>
        <w:t>Definition</w:t>
      </w:r>
    </w:p>
    <w:p w:rsidR="0058166F" w:rsidP="003F4A04" w:rsidRDefault="0058166F" w14:paraId="6661AB12" w14:textId="35056547">
      <w:r w:rsidRPr="0058166F">
        <w:t>An</w:t>
      </w:r>
      <w:r>
        <w:rPr>
          <w:b/>
          <w:bCs/>
        </w:rPr>
        <w:t xml:space="preserve"> </w:t>
      </w:r>
      <w:r w:rsidRPr="00091955" w:rsidR="00F80C06">
        <w:rPr>
          <w:b/>
          <w:bCs/>
        </w:rPr>
        <w:t>"</w:t>
      </w:r>
      <w:r>
        <w:rPr>
          <w:b/>
          <w:bCs/>
        </w:rPr>
        <w:t>e</w:t>
      </w:r>
      <w:r w:rsidR="005A02A4">
        <w:rPr>
          <w:b/>
          <w:bCs/>
        </w:rPr>
        <w:t>xemption</w:t>
      </w:r>
      <w:r w:rsidRPr="00091955" w:rsidR="00F80C06">
        <w:rPr>
          <w:b/>
          <w:bCs/>
        </w:rPr>
        <w:t>"</w:t>
      </w:r>
      <w:r w:rsidR="002E4D84">
        <w:t xml:space="preserve"> </w:t>
      </w:r>
      <w:r w:rsidR="00D0669A">
        <w:t xml:space="preserve">in the context of procurement </w:t>
      </w:r>
      <w:r w:rsidR="00095B15">
        <w:t>can be defined as</w:t>
      </w:r>
      <w:r>
        <w:t>:</w:t>
      </w:r>
    </w:p>
    <w:p w:rsidR="00BE0053" w:rsidP="003F4A04" w:rsidRDefault="0058166F" w14:paraId="6AE6199B" w14:textId="422B4745">
      <w:r w:rsidRPr="0058166F">
        <w:rPr>
          <w:noProof/>
        </w:rPr>
        <w:drawing>
          <wp:inline distT="0" distB="0" distL="0" distR="0" wp14:anchorId="1159F0E5" wp14:editId="0FA01F8B">
            <wp:extent cx="5270500" cy="821690"/>
            <wp:effectExtent l="0" t="0" r="6350" b="0"/>
            <wp:docPr id="428611865" name="Picture 1" descr="A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11865" name="Picture 1" descr="A green sign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303B9" w:rsidR="00E71B9C" w:rsidP="00E71B9C" w:rsidRDefault="0024140D" w14:paraId="10344DAB" w14:textId="3EC350D8">
      <w:pPr>
        <w:pStyle w:val="Heading2"/>
      </w:pPr>
      <w:r>
        <w:t>Exemptions</w:t>
      </w:r>
      <w:r w:rsidR="00E71B9C">
        <w:t xml:space="preserve"> in Council</w:t>
      </w:r>
      <w:r w:rsidR="00845621">
        <w:t>'s Procurement Policy</w:t>
      </w:r>
    </w:p>
    <w:p w:rsidR="00D0669A" w:rsidP="00E71B9C" w:rsidRDefault="00953D2A" w14:paraId="6509258B" w14:textId="484EA6B8">
      <w:r>
        <w:t xml:space="preserve">The </w:t>
      </w:r>
      <w:r w:rsidRPr="004E1FA9">
        <w:t xml:space="preserve">City of Greater Dandenong Procurement Policy </w:t>
      </w:r>
      <w:r w:rsidRPr="004E1FA9" w:rsidR="00D0669A">
        <w:t>(</w:t>
      </w:r>
      <w:r w:rsidR="00D0669A">
        <w:t xml:space="preserve">the Policy) </w:t>
      </w:r>
      <w:r>
        <w:t>is the key document governing procurement within Council.</w:t>
      </w:r>
      <w:r w:rsidR="00B22CD3">
        <w:t xml:space="preserve"> </w:t>
      </w:r>
    </w:p>
    <w:p w:rsidR="00D0669A" w:rsidP="00E71B9C" w:rsidRDefault="00D0669A" w14:paraId="2649F0AC" w14:textId="04DE16D8">
      <w:r>
        <w:t xml:space="preserve">The Policy </w:t>
      </w:r>
      <w:r w:rsidR="00016FC9">
        <w:t xml:space="preserve">describes </w:t>
      </w:r>
      <w:r w:rsidR="001A35D4">
        <w:t>four</w:t>
      </w:r>
      <w:r w:rsidR="004E1FA9">
        <w:t xml:space="preserve"> types of exemptions:</w:t>
      </w:r>
    </w:p>
    <w:p w:rsidR="001A35D4" w:rsidP="001A35D4" w:rsidRDefault="001A35D4" w14:paraId="4E7D05CA" w14:textId="77777777">
      <w:pPr>
        <w:pStyle w:val="ListParagraph"/>
        <w:numPr>
          <w:ilvl w:val="0"/>
          <w:numId w:val="8"/>
        </w:numPr>
      </w:pPr>
      <w:r>
        <w:t>Exemptions from Procurement Process</w:t>
      </w:r>
    </w:p>
    <w:p w:rsidR="004E1FA9" w:rsidP="004E1FA9" w:rsidRDefault="00016FC9" w14:paraId="0D6776B0" w14:textId="00029183">
      <w:pPr>
        <w:pStyle w:val="ListParagraph"/>
        <w:numPr>
          <w:ilvl w:val="0"/>
          <w:numId w:val="8"/>
        </w:numPr>
      </w:pPr>
      <w:r>
        <w:t xml:space="preserve">Council Specific </w:t>
      </w:r>
      <w:r w:rsidR="004E1FA9">
        <w:t>Exemptions</w:t>
      </w:r>
    </w:p>
    <w:p w:rsidR="004E1FA9" w:rsidP="004E1FA9" w:rsidRDefault="00344356" w14:paraId="4012833F" w14:textId="145DE49B">
      <w:pPr>
        <w:pStyle w:val="ListParagraph"/>
        <w:numPr>
          <w:ilvl w:val="0"/>
          <w:numId w:val="8"/>
        </w:numPr>
      </w:pPr>
      <w:r>
        <w:t xml:space="preserve">General </w:t>
      </w:r>
      <w:r w:rsidR="004E1FA9">
        <w:t>Exemptions</w:t>
      </w:r>
    </w:p>
    <w:p w:rsidR="0075366E" w:rsidP="004E1FA9" w:rsidRDefault="0075366E" w14:paraId="5C9A98B0" w14:textId="51CFFA7F">
      <w:pPr>
        <w:pStyle w:val="ListParagraph"/>
        <w:numPr>
          <w:ilvl w:val="0"/>
          <w:numId w:val="8"/>
        </w:numPr>
      </w:pPr>
      <w:r>
        <w:t>Ad hoc Exemptions</w:t>
      </w:r>
    </w:p>
    <w:p w:rsidRPr="008505A1" w:rsidR="001A35D4" w:rsidP="001A35D4" w:rsidRDefault="001A35D4" w14:paraId="7232F890" w14:textId="77777777">
      <w:r w:rsidRPr="001A35D4">
        <w:rPr>
          <w:b/>
          <w:bCs/>
        </w:rPr>
        <w:t>Exemptions from Procurement Process</w:t>
      </w:r>
    </w:p>
    <w:p w:rsidRPr="008505A1" w:rsidR="001A35D4" w:rsidP="001A35D4" w:rsidRDefault="001A35D4" w14:paraId="287694C4" w14:textId="1FF73A5F">
      <w:r>
        <w:t>Appendix 1 of the Procurement Policy states that exemptions from seeking the required number of quotations for the value of the procurement need to be approved via the Exemption from Procurement Process Form.</w:t>
      </w:r>
    </w:p>
    <w:p w:rsidRPr="004E1FA9" w:rsidR="004E1FA9" w:rsidP="00E71B9C" w:rsidRDefault="00016FC9" w14:paraId="16497A31" w14:textId="24C38076">
      <w:pPr>
        <w:rPr>
          <w:b/>
          <w:bCs/>
        </w:rPr>
      </w:pPr>
      <w:r>
        <w:rPr>
          <w:b/>
          <w:bCs/>
        </w:rPr>
        <w:t xml:space="preserve">Council Specific </w:t>
      </w:r>
      <w:r w:rsidRPr="004E1FA9" w:rsidR="004E1FA9">
        <w:rPr>
          <w:b/>
          <w:bCs/>
        </w:rPr>
        <w:t>Exemptions</w:t>
      </w:r>
    </w:p>
    <w:p w:rsidR="004E1FA9" w:rsidP="00E71B9C" w:rsidRDefault="001E571E" w14:paraId="2548DFA2" w14:textId="57C8DDE4">
      <w:r>
        <w:t xml:space="preserve">Appendix 3 of the Procurement Policy specifies </w:t>
      </w:r>
      <w:r w:rsidR="00344356">
        <w:t>the following transaction</w:t>
      </w:r>
      <w:r w:rsidR="001A35D4">
        <w:t xml:space="preserve"> type</w:t>
      </w:r>
      <w:r w:rsidR="00344356">
        <w:t>s that are not considered to be procurements of goods and services and that are exempt from the requirements to raise purchase orders, seek quotations or procure under a tender process:</w:t>
      </w:r>
    </w:p>
    <w:p w:rsidR="00344356" w:rsidP="00344356" w:rsidRDefault="00344356" w14:paraId="013EF0E5" w14:textId="4430A1AD">
      <w:pPr>
        <w:pStyle w:val="ListParagraph"/>
        <w:numPr>
          <w:ilvl w:val="0"/>
          <w:numId w:val="10"/>
        </w:numPr>
      </w:pPr>
      <w:r>
        <w:t>Rate Refunds</w:t>
      </w:r>
    </w:p>
    <w:p w:rsidR="00344356" w:rsidP="00344356" w:rsidRDefault="00344356" w14:paraId="66AC235B" w14:textId="442E7573">
      <w:pPr>
        <w:pStyle w:val="ListParagraph"/>
        <w:numPr>
          <w:ilvl w:val="0"/>
          <w:numId w:val="10"/>
        </w:numPr>
      </w:pPr>
      <w:r>
        <w:lastRenderedPageBreak/>
        <w:t>Refunds to Community Care clients</w:t>
      </w:r>
    </w:p>
    <w:p w:rsidR="00344356" w:rsidP="00344356" w:rsidRDefault="00344356" w14:paraId="74D553AA" w14:textId="54C22DBD">
      <w:pPr>
        <w:pStyle w:val="ListParagraph"/>
        <w:numPr>
          <w:ilvl w:val="0"/>
          <w:numId w:val="10"/>
        </w:numPr>
      </w:pPr>
      <w:r>
        <w:t>Trust Refunds</w:t>
      </w:r>
    </w:p>
    <w:p w:rsidR="00344356" w:rsidP="00344356" w:rsidRDefault="00344356" w14:paraId="36F7A4DB" w14:textId="00AAB2F0">
      <w:pPr>
        <w:pStyle w:val="ListParagraph"/>
        <w:numPr>
          <w:ilvl w:val="0"/>
          <w:numId w:val="10"/>
        </w:numPr>
      </w:pPr>
      <w:r>
        <w:t>Employee Re-imbursements</w:t>
      </w:r>
    </w:p>
    <w:p w:rsidR="00344356" w:rsidP="00344356" w:rsidRDefault="00344356" w14:paraId="557C4863" w14:textId="19B86AD1">
      <w:pPr>
        <w:pStyle w:val="ListParagraph"/>
        <w:numPr>
          <w:ilvl w:val="0"/>
          <w:numId w:val="10"/>
        </w:numPr>
      </w:pPr>
      <w:r>
        <w:t>Utilities - water, telephone, mobile, gas, electricity, sewerage charges.</w:t>
      </w:r>
    </w:p>
    <w:p w:rsidR="00344356" w:rsidP="00344356" w:rsidRDefault="00344356" w14:paraId="1BF1EE36" w14:textId="2057986B">
      <w:pPr>
        <w:pStyle w:val="ListParagraph"/>
        <w:numPr>
          <w:ilvl w:val="0"/>
          <w:numId w:val="10"/>
        </w:numPr>
      </w:pPr>
      <w:r>
        <w:t>Australia Post</w:t>
      </w:r>
    </w:p>
    <w:p w:rsidR="00344356" w:rsidP="00344356" w:rsidRDefault="00344356" w14:paraId="2B4C44D7" w14:textId="217F6D29">
      <w:pPr>
        <w:pStyle w:val="ListParagraph"/>
        <w:numPr>
          <w:ilvl w:val="0"/>
          <w:numId w:val="10"/>
        </w:numPr>
      </w:pPr>
      <w:r>
        <w:t>Community Grants and Sponsorships</w:t>
      </w:r>
    </w:p>
    <w:p w:rsidR="00344356" w:rsidP="00344356" w:rsidRDefault="00344356" w14:paraId="27F9C0ED" w14:textId="061E5970">
      <w:pPr>
        <w:pStyle w:val="ListParagraph"/>
        <w:numPr>
          <w:ilvl w:val="0"/>
          <w:numId w:val="10"/>
        </w:numPr>
      </w:pPr>
      <w:r>
        <w:t>Memberships and Subscriptions</w:t>
      </w:r>
    </w:p>
    <w:p w:rsidR="00344356" w:rsidP="00344356" w:rsidRDefault="00344356" w14:paraId="336B0F40" w14:textId="7B2B06E9">
      <w:pPr>
        <w:pStyle w:val="ListParagraph"/>
        <w:numPr>
          <w:ilvl w:val="0"/>
          <w:numId w:val="10"/>
        </w:numPr>
      </w:pPr>
      <w:r>
        <w:t>Couriers</w:t>
      </w:r>
    </w:p>
    <w:p w:rsidR="00344356" w:rsidP="00344356" w:rsidRDefault="00344356" w14:paraId="2D34EB35" w14:textId="016F6B00">
      <w:pPr>
        <w:pStyle w:val="ListParagraph"/>
        <w:numPr>
          <w:ilvl w:val="0"/>
          <w:numId w:val="10"/>
        </w:numPr>
      </w:pPr>
      <w:r>
        <w:t>Petty Cash</w:t>
      </w:r>
    </w:p>
    <w:p w:rsidR="00344356" w:rsidP="00344356" w:rsidRDefault="00344356" w14:paraId="62302BBD" w14:textId="33996DB3">
      <w:pPr>
        <w:pStyle w:val="ListParagraph"/>
        <w:numPr>
          <w:ilvl w:val="0"/>
          <w:numId w:val="10"/>
        </w:numPr>
      </w:pPr>
      <w:r>
        <w:t>Seminars and conferences</w:t>
      </w:r>
    </w:p>
    <w:p w:rsidR="00344356" w:rsidP="00344356" w:rsidRDefault="00344356" w14:paraId="6D0AE98B" w14:textId="4126578E">
      <w:pPr>
        <w:pStyle w:val="ListParagraph"/>
        <w:numPr>
          <w:ilvl w:val="0"/>
          <w:numId w:val="10"/>
        </w:numPr>
      </w:pPr>
      <w:r>
        <w:t>Travel related expenses</w:t>
      </w:r>
    </w:p>
    <w:p w:rsidR="00344356" w:rsidP="00344356" w:rsidRDefault="00344356" w14:paraId="56AE6B50" w14:textId="2C755ECF">
      <w:pPr>
        <w:pStyle w:val="ListParagraph"/>
        <w:numPr>
          <w:ilvl w:val="0"/>
          <w:numId w:val="10"/>
        </w:numPr>
      </w:pPr>
      <w:r>
        <w:t xml:space="preserve">Goods/service purchased on a corporate purchasing card </w:t>
      </w:r>
    </w:p>
    <w:p w:rsidR="00344356" w:rsidP="00344356" w:rsidRDefault="00344356" w14:paraId="7C57B29A" w14:textId="41F4097E">
      <w:pPr>
        <w:pStyle w:val="ListParagraph"/>
        <w:numPr>
          <w:ilvl w:val="0"/>
          <w:numId w:val="10"/>
        </w:numPr>
      </w:pPr>
      <w:r>
        <w:t>Insurance claims</w:t>
      </w:r>
    </w:p>
    <w:p w:rsidR="00344356" w:rsidP="00344356" w:rsidRDefault="00344356" w14:paraId="4B6BB648" w14:textId="48748C65">
      <w:pPr>
        <w:pStyle w:val="ListParagraph"/>
        <w:numPr>
          <w:ilvl w:val="0"/>
          <w:numId w:val="10"/>
        </w:numPr>
      </w:pPr>
      <w:r>
        <w:t>Planning application/Building</w:t>
      </w:r>
    </w:p>
    <w:p w:rsidR="00344356" w:rsidP="00344356" w:rsidRDefault="00344356" w14:paraId="7E3CB734" w14:textId="14F1B169">
      <w:pPr>
        <w:pStyle w:val="ListParagraph"/>
        <w:numPr>
          <w:ilvl w:val="0"/>
          <w:numId w:val="10"/>
        </w:numPr>
      </w:pPr>
      <w:r>
        <w:t>Medical accounts</w:t>
      </w:r>
    </w:p>
    <w:p w:rsidR="00344356" w:rsidP="00344356" w:rsidRDefault="00344356" w14:paraId="45205A97" w14:textId="6C5047EA">
      <w:pPr>
        <w:pStyle w:val="ListParagraph"/>
        <w:numPr>
          <w:ilvl w:val="0"/>
          <w:numId w:val="10"/>
        </w:numPr>
      </w:pPr>
      <w:r>
        <w:t>Purchase of property</w:t>
      </w:r>
    </w:p>
    <w:p w:rsidR="004E1FA9" w:rsidP="00E71B9C" w:rsidRDefault="00344356" w14:paraId="6B07F3F5" w14:textId="5416DAC2">
      <w:r>
        <w:t>These transactions do not require exemption approval.</w:t>
      </w:r>
    </w:p>
    <w:p w:rsidRPr="004E1FA9" w:rsidR="004E1FA9" w:rsidP="00E71B9C" w:rsidRDefault="00344356" w14:paraId="10499C25" w14:textId="57152BCA">
      <w:pPr>
        <w:rPr>
          <w:b/>
          <w:bCs/>
        </w:rPr>
      </w:pPr>
      <w:r>
        <w:rPr>
          <w:b/>
          <w:bCs/>
        </w:rPr>
        <w:t xml:space="preserve">General </w:t>
      </w:r>
      <w:r w:rsidRPr="004E1FA9" w:rsidR="004E1FA9">
        <w:rPr>
          <w:b/>
          <w:bCs/>
        </w:rPr>
        <w:t xml:space="preserve">Exemptions from </w:t>
      </w:r>
      <w:r w:rsidR="003A0AE3">
        <w:rPr>
          <w:b/>
          <w:bCs/>
        </w:rPr>
        <w:t>Procurement Process</w:t>
      </w:r>
    </w:p>
    <w:p w:rsidR="004E1FA9" w:rsidP="00E71B9C" w:rsidRDefault="00AD7433" w14:paraId="5D36E6C0" w14:textId="0D1D3999">
      <w:r w:rsidR="112B39CC">
        <w:rPr/>
        <w:t>Section 5.10 of the Proc</w:t>
      </w:r>
      <w:r w:rsidR="112B39CC">
        <w:rPr/>
        <w:t>urement Policy</w:t>
      </w:r>
      <w:r w:rsidR="00AD7433">
        <w:rPr/>
        <w:t xml:space="preserve"> </w:t>
      </w:r>
      <w:r w:rsidR="0075366E">
        <w:rPr/>
        <w:t>lists those circumstanc</w:t>
      </w:r>
      <w:r w:rsidR="0075366E">
        <w:rPr/>
        <w:t xml:space="preserve">es that are exempt </w:t>
      </w:r>
      <w:r w:rsidR="00562D38">
        <w:rPr/>
        <w:t xml:space="preserve">from tender, proposal, </w:t>
      </w:r>
      <w:r w:rsidR="00562D38">
        <w:rPr/>
        <w:t>quotation</w:t>
      </w:r>
      <w:r w:rsidR="00562D38">
        <w:rPr/>
        <w:t xml:space="preserve"> and expression of interest requirements.</w:t>
      </w:r>
    </w:p>
    <w:p w:rsidR="00562D38" w:rsidP="00E71B9C" w:rsidRDefault="00562D38" w14:paraId="50F83BBA" w14:textId="3C22FE29">
      <w:r>
        <w:t>In summary, they are:</w:t>
      </w:r>
    </w:p>
    <w:p w:rsidR="00562D38" w:rsidP="00562D38" w:rsidRDefault="00562D38" w14:paraId="4E7597FD" w14:textId="5113FA5F">
      <w:pPr>
        <w:pStyle w:val="ListParagraph"/>
        <w:numPr>
          <w:ilvl w:val="0"/>
          <w:numId w:val="11"/>
        </w:numPr>
      </w:pPr>
      <w:r>
        <w:t>Emergency</w:t>
      </w:r>
      <w:r w:rsidR="0032225C">
        <w:t xml:space="preserve"> procurement</w:t>
      </w:r>
    </w:p>
    <w:p w:rsidR="00562D38" w:rsidP="00562D38" w:rsidRDefault="00562D38" w14:paraId="34DC20BF" w14:textId="150F683A">
      <w:pPr>
        <w:pStyle w:val="ListParagraph"/>
        <w:numPr>
          <w:ilvl w:val="0"/>
          <w:numId w:val="11"/>
        </w:numPr>
      </w:pPr>
      <w:r>
        <w:t>Engagements with another government entity</w:t>
      </w:r>
    </w:p>
    <w:p w:rsidR="00562D38" w:rsidP="00562D38" w:rsidRDefault="00562D38" w14:paraId="23403EC3" w14:textId="0EDC9F49">
      <w:pPr>
        <w:pStyle w:val="ListParagraph"/>
        <w:numPr>
          <w:ilvl w:val="0"/>
          <w:numId w:val="11"/>
        </w:numPr>
      </w:pPr>
      <w:r>
        <w:t>Purchases from contracts established by another government entity, local authority or local purchasing group</w:t>
      </w:r>
    </w:p>
    <w:p w:rsidR="00562D38" w:rsidP="00562D38" w:rsidRDefault="00562D38" w14:paraId="2382CBB5" w14:textId="7F864938">
      <w:pPr>
        <w:pStyle w:val="ListParagraph"/>
        <w:numPr>
          <w:ilvl w:val="0"/>
          <w:numId w:val="11"/>
        </w:numPr>
      </w:pPr>
      <w:r>
        <w:t>Contract</w:t>
      </w:r>
      <w:r w:rsidR="00595607">
        <w:t>s</w:t>
      </w:r>
      <w:r>
        <w:t xml:space="preserve"> entered into in accordance with arrangements approved by the Minister</w:t>
      </w:r>
      <w:r w:rsidR="007879C2">
        <w:t xml:space="preserve"> and where Council is able to demonstrate to the Minister that it is not viable to go to public tender</w:t>
      </w:r>
    </w:p>
    <w:p w:rsidR="00562D38" w:rsidP="00562D38" w:rsidRDefault="00562D38" w14:paraId="018E6A14" w14:textId="1B41DF9F">
      <w:pPr>
        <w:pStyle w:val="ListParagraph"/>
        <w:numPr>
          <w:ilvl w:val="0"/>
          <w:numId w:val="11"/>
        </w:numPr>
      </w:pPr>
      <w:r>
        <w:t>Extension of contracts while Council is conducting a market tender</w:t>
      </w:r>
    </w:p>
    <w:p w:rsidR="00562D38" w:rsidP="00562D38" w:rsidRDefault="00562D38" w14:paraId="4EFC1E18" w14:textId="21AF2F98">
      <w:pPr>
        <w:pStyle w:val="ListParagraph"/>
        <w:numPr>
          <w:ilvl w:val="0"/>
          <w:numId w:val="11"/>
        </w:numPr>
      </w:pPr>
      <w:r>
        <w:t>Legal services and insurance</w:t>
      </w:r>
    </w:p>
    <w:p w:rsidR="00562D38" w:rsidP="00562D38" w:rsidRDefault="00562D38" w14:paraId="1614E3F1" w14:textId="10045EE1">
      <w:pPr>
        <w:pStyle w:val="ListParagraph"/>
        <w:numPr>
          <w:ilvl w:val="0"/>
          <w:numId w:val="11"/>
        </w:numPr>
      </w:pPr>
      <w:r>
        <w:t>Novated contracts (</w:t>
      </w:r>
      <w:r w:rsidR="00B7659C">
        <w:t xml:space="preserve">with </w:t>
      </w:r>
      <w:r>
        <w:t>conditions)</w:t>
      </w:r>
    </w:p>
    <w:p w:rsidR="00562D38" w:rsidP="00562D38" w:rsidRDefault="00B7659C" w14:paraId="1CF518E9" w14:textId="78BB86D4">
      <w:pPr>
        <w:pStyle w:val="ListParagraph"/>
        <w:numPr>
          <w:ilvl w:val="0"/>
          <w:numId w:val="11"/>
        </w:numPr>
      </w:pPr>
      <w:r>
        <w:t>Software licence and maintenance and support renewals (with conditions)</w:t>
      </w:r>
    </w:p>
    <w:p w:rsidR="00B7659C" w:rsidP="00562D38" w:rsidRDefault="00B7659C" w14:paraId="65AEDA18" w14:textId="1B39F0E2">
      <w:pPr>
        <w:pStyle w:val="ListParagraph"/>
        <w:numPr>
          <w:ilvl w:val="0"/>
          <w:numId w:val="11"/>
        </w:numPr>
      </w:pPr>
      <w:r>
        <w:t>Utility authorities working on their own assets</w:t>
      </w:r>
    </w:p>
    <w:p w:rsidR="00B7659C" w:rsidP="00562D38" w:rsidRDefault="00B7659C" w14:paraId="1B2FDD37" w14:textId="7C84B5F7">
      <w:pPr>
        <w:pStyle w:val="ListParagraph"/>
        <w:numPr>
          <w:ilvl w:val="0"/>
          <w:numId w:val="11"/>
        </w:numPr>
      </w:pPr>
      <w:r>
        <w:t>Regional waste management groups</w:t>
      </w:r>
    </w:p>
    <w:p w:rsidR="00B7659C" w:rsidP="00562D38" w:rsidRDefault="00B7659C" w14:paraId="3017085D" w14:textId="4C5FEA87">
      <w:pPr>
        <w:pStyle w:val="ListParagraph"/>
        <w:numPr>
          <w:ilvl w:val="0"/>
          <w:numId w:val="11"/>
        </w:numPr>
      </w:pPr>
      <w:r>
        <w:t>Operating leases</w:t>
      </w:r>
    </w:p>
    <w:p w:rsidR="005C01D7" w:rsidP="005C01D7" w:rsidRDefault="005C01D7" w14:paraId="1F68A952" w14:textId="75480DEF">
      <w:pPr>
        <w:pStyle w:val="ListParagraph"/>
        <w:numPr>
          <w:ilvl w:val="0"/>
          <w:numId w:val="11"/>
        </w:numPr>
      </w:pPr>
      <w:r w:rsidRPr="005C01D7">
        <w:t>Contract over-expenditure</w:t>
      </w:r>
    </w:p>
    <w:p w:rsidR="00B7659C" w:rsidP="00562D38" w:rsidRDefault="00B7659C" w14:paraId="3A27E5B3" w14:textId="12F61CB2">
      <w:pPr>
        <w:pStyle w:val="ListParagraph"/>
        <w:numPr>
          <w:ilvl w:val="0"/>
          <w:numId w:val="11"/>
        </w:numPr>
      </w:pPr>
      <w:r>
        <w:t>Variations</w:t>
      </w:r>
      <w:r w:rsidR="005C01D7">
        <w:t xml:space="preserve"> to the above</w:t>
      </w:r>
    </w:p>
    <w:p w:rsidR="00AD7433" w:rsidP="00AD7433" w:rsidRDefault="00AD7433" w14:paraId="29921F4F" w14:textId="36C5D123">
      <w:r>
        <w:t>The</w:t>
      </w:r>
      <w:r w:rsidR="0032225C">
        <w:t xml:space="preserve"> Policy requires that</w:t>
      </w:r>
      <w:r>
        <w:t xml:space="preserve"> </w:t>
      </w:r>
      <w:r w:rsidR="00391627">
        <w:t xml:space="preserve">these </w:t>
      </w:r>
      <w:r w:rsidRPr="00F70B93">
        <w:t>exemption</w:t>
      </w:r>
      <w:r>
        <w:t>s</w:t>
      </w:r>
      <w:r w:rsidRPr="00F70B93">
        <w:t xml:space="preserve"> </w:t>
      </w:r>
      <w:r w:rsidR="00391627">
        <w:t>are</w:t>
      </w:r>
      <w:r w:rsidRPr="00F70B93">
        <w:t xml:space="preserve"> endorsed in accordance with the </w:t>
      </w:r>
      <w:r w:rsidRPr="00D126E5">
        <w:t>current Instrument of</w:t>
      </w:r>
      <w:r>
        <w:t xml:space="preserve"> </w:t>
      </w:r>
      <w:r w:rsidRPr="00F70B93">
        <w:t>Financial Delegations.</w:t>
      </w:r>
    </w:p>
    <w:p w:rsidR="00391627" w:rsidP="00AD7433" w:rsidRDefault="00391627" w14:paraId="1B6A2FB1" w14:textId="2E5916B5">
      <w:r>
        <w:t xml:space="preserve">Note that for legal services, exemption approval is required at the time of establishment of a legal services master agreement or legal services provider panel. Exemption approval is not required when purchasing from those master agreements </w:t>
      </w:r>
      <w:r>
        <w:lastRenderedPageBreak/>
        <w:t>or panels.</w:t>
      </w:r>
    </w:p>
    <w:p w:rsidRPr="0075366E" w:rsidR="00251F36" w:rsidP="00E71B9C" w:rsidRDefault="0075366E" w14:paraId="39739C83" w14:textId="71CAC738">
      <w:pPr>
        <w:rPr>
          <w:b/>
          <w:bCs/>
        </w:rPr>
      </w:pPr>
      <w:r w:rsidRPr="0075366E">
        <w:rPr>
          <w:b/>
          <w:bCs/>
        </w:rPr>
        <w:t>Ad hoc Exemptions</w:t>
      </w:r>
    </w:p>
    <w:p w:rsidRPr="0075547D" w:rsidR="008505A1" w:rsidP="008505A1" w:rsidRDefault="008505A1" w14:paraId="38A5008A" w14:textId="42449EA4">
      <w:r>
        <w:t xml:space="preserve">Ad hoc exemptions are those exemptions from Policy that are not </w:t>
      </w:r>
      <w:r w:rsidR="001A35D4">
        <w:t xml:space="preserve">Exemptions from the Procurement Process, </w:t>
      </w:r>
      <w:r>
        <w:t>Council Specific Exemptions or General Exemptions.</w:t>
      </w:r>
    </w:p>
    <w:p w:rsidR="0075547D" w:rsidP="0075547D" w:rsidRDefault="0075547D" w14:paraId="4900B680" w14:textId="060FD6F4">
      <w:r>
        <w:t>Appendix 3 of the Policy states that t</w:t>
      </w:r>
      <w:r w:rsidRPr="0075547D">
        <w:t>he Chief Executive Officer may approve ad-hoc exemptions in exceptional circumstances where it can be demonstrated that it is in the best interests of the community to do so</w:t>
      </w:r>
      <w:r w:rsidR="008505A1">
        <w:t>. It states that these exemption requests</w:t>
      </w:r>
      <w:r w:rsidRPr="0075547D">
        <w:t xml:space="preserve"> must include an assessment </w:t>
      </w:r>
      <w:r w:rsidR="008505A1">
        <w:t xml:space="preserve">of whether </w:t>
      </w:r>
      <w:r w:rsidRPr="0075547D">
        <w:t>the expenditure represents value for money</w:t>
      </w:r>
      <w:r>
        <w:t>.</w:t>
      </w:r>
    </w:p>
    <w:p w:rsidRPr="008303B9" w:rsidR="00D0669A" w:rsidP="00D0669A" w:rsidRDefault="00D0669A" w14:paraId="740C61AC" w14:textId="69E3F983">
      <w:pPr>
        <w:pStyle w:val="Heading2"/>
      </w:pPr>
      <w:bookmarkStart w:name="_Hlk183415799" w:id="0"/>
      <w:r>
        <w:t>Who Can Approve Exemptions?</w:t>
      </w:r>
    </w:p>
    <w:p w:rsidR="00CB4041" w:rsidP="00D0669A" w:rsidRDefault="00314A18" w14:paraId="3A9F2F4B" w14:textId="23510198">
      <w:r>
        <w:t>General Exemptions must be endorsed in accordance with the current Instruments of Financial Delegation.</w:t>
      </w:r>
    </w:p>
    <w:p w:rsidR="00D0669A" w:rsidP="00D0669A" w:rsidRDefault="00AD1619" w14:paraId="6561CD43" w14:textId="62B3EEE3">
      <w:r>
        <w:t>All o</w:t>
      </w:r>
      <w:r w:rsidR="00314A18">
        <w:t>ther exemption types must be endorsed by the CEO.</w:t>
      </w:r>
    </w:p>
    <w:p w:rsidRPr="008303B9" w:rsidR="00845621" w:rsidP="00845621" w:rsidRDefault="0024140D" w14:paraId="143DD8D4" w14:textId="146D3CBE">
      <w:pPr>
        <w:pStyle w:val="Heading2"/>
      </w:pPr>
      <w:r>
        <w:t>Process for Approval of Exemptions</w:t>
      </w:r>
    </w:p>
    <w:p w:rsidR="003C5792" w:rsidP="00845621" w:rsidRDefault="005F56BC" w14:paraId="5C075231" w14:textId="2C22F027">
      <w:r w:rsidRPr="005F56BC">
        <w:rPr>
          <w:noProof/>
        </w:rPr>
        <w:drawing>
          <wp:anchor distT="0" distB="0" distL="114300" distR="114300" simplePos="0" relativeHeight="251658240" behindDoc="0" locked="0" layoutInCell="1" allowOverlap="1" wp14:anchorId="507E6EED" wp14:editId="5E4F6FE2">
            <wp:simplePos x="0" y="0"/>
            <wp:positionH relativeFrom="column">
              <wp:posOffset>-847725</wp:posOffset>
            </wp:positionH>
            <wp:positionV relativeFrom="paragraph">
              <wp:posOffset>465455</wp:posOffset>
            </wp:positionV>
            <wp:extent cx="6963410" cy="3562350"/>
            <wp:effectExtent l="0" t="0" r="8890" b="0"/>
            <wp:wrapNone/>
            <wp:docPr id="485824423" name="Picture 1" descr="A diagram of a process f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24423" name="Picture 1" descr="A diagram of a process flow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34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92">
        <w:t>The process for review and approval of exemption requests is shown in the process map below.</w:t>
      </w:r>
    </w:p>
    <w:bookmarkEnd w:id="0"/>
    <w:p w:rsidR="005F56BC" w:rsidP="00845621" w:rsidRDefault="005F56BC" w14:paraId="0FDF656F" w14:textId="42901282"/>
    <w:p w:rsidR="005F56BC" w:rsidP="00845621" w:rsidRDefault="005F56BC" w14:paraId="0EBC1466" w14:textId="7F17C186"/>
    <w:p w:rsidR="005F56BC" w:rsidP="00845621" w:rsidRDefault="005F56BC" w14:paraId="73689B7B" w14:textId="34406F82"/>
    <w:p w:rsidR="00D0669A" w:rsidP="00845621" w:rsidRDefault="00D0669A" w14:paraId="46F0915E" w14:textId="05EFCFE6">
      <w:r>
        <w:t xml:space="preserve"> </w:t>
      </w:r>
    </w:p>
    <w:p w:rsidR="003C5792" w:rsidP="00845621" w:rsidRDefault="003C5792" w14:paraId="5099A61F" w14:textId="1AED4BF8"/>
    <w:p w:rsidR="003C5792" w:rsidP="00845621" w:rsidRDefault="003C5792" w14:paraId="0535B8F7" w14:textId="41F3F17B"/>
    <w:p w:rsidR="003C5792" w:rsidP="00845621" w:rsidRDefault="003C5792" w14:paraId="647AAFB0" w14:textId="77777777"/>
    <w:p w:rsidR="003C5792" w:rsidP="00845621" w:rsidRDefault="003C5792" w14:paraId="56DC1822" w14:textId="77777777"/>
    <w:p w:rsidR="003C5792" w:rsidP="00845621" w:rsidRDefault="003C5792" w14:paraId="1B77301F" w14:textId="24781487"/>
    <w:p w:rsidR="00CB4041" w:rsidP="00845621" w:rsidRDefault="00CB4041" w14:paraId="420A0A1E" w14:textId="77777777"/>
    <w:p w:rsidR="003C5792" w:rsidP="00845621" w:rsidRDefault="003C5792" w14:paraId="75D26BB3" w14:textId="77777777"/>
    <w:p w:rsidR="003C5792" w:rsidP="00845621" w:rsidRDefault="003C5792" w14:paraId="11D7F5F9" w14:textId="77777777"/>
    <w:p w:rsidR="004953EE" w:rsidP="00845621" w:rsidRDefault="003C5792" w14:paraId="53AD163E" w14:textId="2B6506A3">
      <w:r>
        <w:t>The process begins with completion of the online Exemption from Procurement Process form which workflows to Procurement for review and then to the CEO for approval.</w:t>
      </w:r>
    </w:p>
    <w:p w:rsidRPr="00BD6FE6" w:rsidR="00E27D8B" w:rsidP="00D07BAA" w:rsidRDefault="00BD6FE6" w14:paraId="6D1A78C9" w14:textId="36E6B8AE">
      <w:pPr>
        <w:rPr>
          <w:b/>
          <w:bCs/>
        </w:rPr>
      </w:pPr>
      <w:r w:rsidRPr="00BD6FE6">
        <w:rPr>
          <w:b/>
          <w:bCs/>
        </w:rPr>
        <w:t>Demonstrating value for money</w:t>
      </w:r>
    </w:p>
    <w:p w:rsidR="00810B88" w:rsidP="00D07BAA" w:rsidRDefault="00BD6FE6" w14:paraId="3BF97BFC" w14:textId="77777777">
      <w:r>
        <w:t xml:space="preserve">The Procurement Policy requires that value for money is demonstrated when seeking </w:t>
      </w:r>
      <w:r>
        <w:lastRenderedPageBreak/>
        <w:t>approval for exemptions</w:t>
      </w:r>
      <w:r w:rsidR="00810B88">
        <w:t>.</w:t>
      </w:r>
    </w:p>
    <w:p w:rsidR="00810B88" w:rsidP="00810B88" w:rsidRDefault="00810B88" w14:paraId="61504494" w14:textId="24D2AD35">
      <w:pPr>
        <w:pStyle w:val="ListParagraph"/>
        <w:numPr>
          <w:ilvl w:val="0"/>
          <w:numId w:val="11"/>
        </w:numPr>
      </w:pPr>
      <w:r>
        <w:t xml:space="preserve">Section 5.10 </w:t>
      </w:r>
      <w:r w:rsidR="002C7860">
        <w:t xml:space="preserve">(General Exemptions) </w:t>
      </w:r>
      <w:r>
        <w:t xml:space="preserve">of </w:t>
      </w:r>
      <w:r w:rsidR="00BD6FE6">
        <w:t xml:space="preserve">the Policy </w:t>
      </w:r>
      <w:r>
        <w:t xml:space="preserve">requires </w:t>
      </w:r>
      <w:r w:rsidR="002C7860">
        <w:t xml:space="preserve">contract </w:t>
      </w:r>
      <w:r>
        <w:t>spend breaches to be reported quarterly by Procurement to the Executive Management Team and to vouch that deviations meet value for money principles</w:t>
      </w:r>
    </w:p>
    <w:p w:rsidR="00810B88" w:rsidP="00810B88" w:rsidRDefault="00810B88" w14:paraId="6726A290" w14:textId="0AF62103">
      <w:pPr>
        <w:pStyle w:val="ListParagraph"/>
        <w:numPr>
          <w:ilvl w:val="0"/>
          <w:numId w:val="11"/>
        </w:numPr>
      </w:pPr>
      <w:r>
        <w:t>Section 5.10 states that for emergency procurement, value for money principles still apply</w:t>
      </w:r>
    </w:p>
    <w:p w:rsidR="00810B88" w:rsidP="00810B88" w:rsidRDefault="00810B88" w14:paraId="7AE77DDE" w14:textId="57C485DC">
      <w:pPr>
        <w:pStyle w:val="ListParagraph"/>
        <w:numPr>
          <w:ilvl w:val="0"/>
          <w:numId w:val="11"/>
        </w:numPr>
      </w:pPr>
      <w:r>
        <w:t xml:space="preserve">Appendix 1 states that where only one quotation is received for procurements above $10,000, </w:t>
      </w:r>
      <w:r w:rsidR="002C7860">
        <w:t xml:space="preserve">and it is intended to recommend that the sole quote is accepted, </w:t>
      </w:r>
      <w:r>
        <w:t>the sole quote must demonstrate value for money</w:t>
      </w:r>
    </w:p>
    <w:p w:rsidR="00810B88" w:rsidP="00810B88" w:rsidRDefault="00810B88" w14:paraId="56F0AEC5" w14:textId="5873BDD3">
      <w:pPr>
        <w:pStyle w:val="ListParagraph"/>
        <w:numPr>
          <w:ilvl w:val="0"/>
          <w:numId w:val="11"/>
        </w:numPr>
      </w:pPr>
      <w:r>
        <w:t>Appendix 3 states that Ad hoc Exemptions must demonstrate value for money</w:t>
      </w:r>
      <w:r w:rsidR="00D36D2F">
        <w:t xml:space="preserve"> and complete a Value for Money Assessment referenced in QRG-01 Value for Money</w:t>
      </w:r>
    </w:p>
    <w:p w:rsidRPr="00BD6FE6" w:rsidR="006758A1" w:rsidP="00D07BAA" w:rsidRDefault="00810B88" w14:paraId="12F08B88" w14:textId="2898D401">
      <w:r w:rsidR="00810B88">
        <w:rPr/>
        <w:t xml:space="preserve">Refer to Quick Reference Guide QRG-01, Value for Money, for guidance on how to </w:t>
      </w:r>
      <w:r w:rsidR="00810B88">
        <w:rPr/>
        <w:t>demonstrate</w:t>
      </w:r>
      <w:r w:rsidR="00810B88">
        <w:rPr/>
        <w:t xml:space="preserve"> value for money</w:t>
      </w:r>
      <w:r w:rsidR="00CA5CF3">
        <w:rPr/>
        <w:t xml:space="preserve"> and the </w:t>
      </w:r>
      <w:r w:rsidR="2C1ACA6B">
        <w:rPr/>
        <w:t>assessment</w:t>
      </w:r>
      <w:r w:rsidR="00CA5CF3">
        <w:rPr/>
        <w:t>.</w:t>
      </w:r>
    </w:p>
    <w:p w:rsidRPr="008303B9" w:rsidR="00524AF9" w:rsidP="006B7747" w:rsidRDefault="00524AF9" w14:paraId="1017F668" w14:textId="412DC741">
      <w:pPr>
        <w:pStyle w:val="Heading2"/>
        <w:spacing w:before="240"/>
      </w:pPr>
      <w:r>
        <w:t>Further Information</w:t>
      </w:r>
    </w:p>
    <w:p w:rsidR="00524AF9" w:rsidP="00524AF9" w:rsidRDefault="00524AF9" w14:paraId="1FD740EA" w14:textId="43043B08">
      <w:r>
        <w:t xml:space="preserve">The following sources of information can be accessed </w:t>
      </w:r>
      <w:r w:rsidR="00122CD9">
        <w:t xml:space="preserve">for </w:t>
      </w:r>
      <w:r>
        <w:t>further information.</w:t>
      </w:r>
    </w:p>
    <w:tbl>
      <w:tblPr>
        <w:tblStyle w:val="TableGrid"/>
        <w:tblW w:w="4179" w:type="dxa"/>
        <w:tblLook w:val="04A0" w:firstRow="1" w:lastRow="0" w:firstColumn="1" w:lastColumn="0" w:noHBand="0" w:noVBand="1"/>
      </w:tblPr>
      <w:tblGrid>
        <w:gridCol w:w="4179"/>
      </w:tblGrid>
      <w:tr w:rsidRPr="006B7747" w:rsidR="005C01D7" w:rsidTr="005C01D7" w14:paraId="13D119BD" w14:textId="77777777">
        <w:tc>
          <w:tcPr>
            <w:tcW w:w="4179" w:type="dxa"/>
            <w:vAlign w:val="center"/>
          </w:tcPr>
          <w:p w:rsidRPr="006B7747" w:rsidR="005C01D7" w:rsidP="00840C13" w:rsidRDefault="005C01D7" w14:paraId="3BBB4CC2" w14:textId="111F70F6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 w:rsidRPr="006B7747">
              <w:rPr>
                <w:sz w:val="22"/>
                <w:szCs w:val="22"/>
              </w:rPr>
              <w:t>CGD Procurement Policy</w:t>
            </w:r>
          </w:p>
        </w:tc>
      </w:tr>
      <w:tr w:rsidRPr="006B7747" w:rsidR="005C01D7" w:rsidTr="005C01D7" w14:paraId="22CE0F6C" w14:textId="77777777">
        <w:tc>
          <w:tcPr>
            <w:tcW w:w="4179" w:type="dxa"/>
            <w:vAlign w:val="center"/>
          </w:tcPr>
          <w:p w:rsidRPr="006B7747" w:rsidR="005C01D7" w:rsidP="00524AF9" w:rsidRDefault="005C01D7" w14:paraId="57D522A1" w14:textId="37B2BFE0">
            <w:pPr>
              <w:pStyle w:val="Heading1"/>
              <w:spacing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QRG-01</w:t>
            </w:r>
            <w:r w:rsidRPr="006B7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Value for Money</w:t>
            </w:r>
          </w:p>
        </w:tc>
      </w:tr>
    </w:tbl>
    <w:p w:rsidR="008B7B50" w:rsidP="003F4A04" w:rsidRDefault="008B7B50" w14:paraId="24643CDC" w14:textId="77777777"/>
    <w:sectPr w:rsidR="008B7B50" w:rsidSect="0052209D">
      <w:headerReference w:type="default" r:id="rId10"/>
      <w:footerReference w:type="even" r:id="rId11"/>
      <w:footerReference w:type="default" r:id="rId12"/>
      <w:headerReference w:type="first" r:id="rId13"/>
      <w:pgSz w:w="11900" w:h="16840" w:orient="portrait"/>
      <w:pgMar w:top="1440" w:right="1800" w:bottom="1440" w:left="180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2D45" w:rsidP="003F4A04" w:rsidRDefault="00852D45" w14:paraId="75511B23" w14:textId="77777777">
      <w:r>
        <w:separator/>
      </w:r>
    </w:p>
  </w:endnote>
  <w:endnote w:type="continuationSeparator" w:id="0">
    <w:p w:rsidR="00852D45" w:rsidP="003F4A04" w:rsidRDefault="00852D45" w14:paraId="4762B0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7132" w:rsidP="003F4A04" w:rsidRDefault="00567132" w14:paraId="5AE90E3C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132" w:rsidP="003F4A04" w:rsidRDefault="00567132" w14:paraId="39D3F1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94A1C" w:rsidR="00567132" w:rsidP="00C1169E" w:rsidRDefault="00C1169E" w14:paraId="5C7C539B" w14:textId="77777777">
    <w:pPr>
      <w:pStyle w:val="Footer"/>
      <w:rPr>
        <w:color w:val="FFFFFF"/>
      </w:rPr>
    </w:pPr>
    <w:r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34297C29" wp14:editId="368D0BDC">
          <wp:simplePos x="0" y="0"/>
          <wp:positionH relativeFrom="page">
            <wp:posOffset>0</wp:posOffset>
          </wp:positionH>
          <wp:positionV relativeFrom="page">
            <wp:posOffset>10053955</wp:posOffset>
          </wp:positionV>
          <wp:extent cx="7560945" cy="643255"/>
          <wp:effectExtent l="0" t="0" r="8255" b="0"/>
          <wp:wrapNone/>
          <wp:docPr id="1567796270" name="Picture 12" descr="Design:DAN_City of Greater Dandenong:DAN1048_MicrosoftTemplates:Design:Imported Graphics:Photoshop:Low Res:Word:Foot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ign:DAN_City of Greater Dandenong:DAN1048_MicrosoftTemplates:Design:Imported Graphics:Photoshop:Low Res:Word:Foot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1C" w:rsidR="00567132">
      <w:rPr>
        <w:rStyle w:val="PageNumber"/>
        <w:rFonts w:ascii="Arial" w:hAnsi="Arial"/>
        <w:color w:val="FFFFFF"/>
      </w:rPr>
      <w:t xml:space="preserve">Page </w:t>
    </w:r>
    <w:r w:rsidRPr="00394A1C" w:rsidR="00567132">
      <w:rPr>
        <w:rStyle w:val="PageNumber"/>
        <w:rFonts w:ascii="Arial" w:hAnsi="Arial"/>
        <w:color w:val="FFFFFF"/>
      </w:rPr>
      <w:fldChar w:fldCharType="begin"/>
    </w:r>
    <w:r w:rsidRPr="00394A1C" w:rsidR="00567132">
      <w:rPr>
        <w:rStyle w:val="PageNumber"/>
        <w:rFonts w:ascii="Arial" w:hAnsi="Arial"/>
        <w:color w:val="FFFFFF"/>
      </w:rPr>
      <w:instrText xml:space="preserve">PAGE  </w:instrText>
    </w:r>
    <w:r w:rsidRPr="00394A1C" w:rsidR="00567132">
      <w:rPr>
        <w:rStyle w:val="PageNumber"/>
        <w:rFonts w:ascii="Arial" w:hAnsi="Arial"/>
        <w:color w:val="FFFFFF"/>
      </w:rPr>
      <w:fldChar w:fldCharType="separate"/>
    </w:r>
    <w:r w:rsidR="00322123">
      <w:rPr>
        <w:rStyle w:val="PageNumber"/>
        <w:rFonts w:ascii="Arial" w:hAnsi="Arial"/>
        <w:noProof/>
        <w:color w:val="FFFFFF"/>
      </w:rPr>
      <w:t>2</w:t>
    </w:r>
    <w:r w:rsidRPr="00394A1C" w:rsidR="00567132">
      <w:rPr>
        <w:rStyle w:val="PageNumber"/>
        <w:rFonts w:ascii="Arial" w:hAnsi="Arial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2D45" w:rsidP="003F4A04" w:rsidRDefault="00852D45" w14:paraId="748B5D5C" w14:textId="77777777">
      <w:r>
        <w:separator/>
      </w:r>
    </w:p>
  </w:footnote>
  <w:footnote w:type="continuationSeparator" w:id="0">
    <w:p w:rsidR="00852D45" w:rsidP="003F4A04" w:rsidRDefault="00852D45" w14:paraId="350A3E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67132" w:rsidP="003F4A04" w:rsidRDefault="009F46E4" w14:paraId="33D793C8" w14:textId="5447A160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06B810" wp14:editId="6E8045AB">
              <wp:simplePos x="0" y="0"/>
              <wp:positionH relativeFrom="margin">
                <wp:posOffset>-82550</wp:posOffset>
              </wp:positionH>
              <wp:positionV relativeFrom="paragraph">
                <wp:posOffset>-316230</wp:posOffset>
              </wp:positionV>
              <wp:extent cx="5276850" cy="695325"/>
              <wp:effectExtent l="0" t="0" r="0" b="0"/>
              <wp:wrapNone/>
              <wp:docPr id="11325688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F46E4" w:rsidR="009F46E4" w:rsidP="009F46E4" w:rsidRDefault="009F46E4" w14:paraId="6A9746C0" w14:textId="0EF9D9D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9F46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City of Greater Dandenong Procurement</w:t>
                          </w:r>
                        </w:p>
                        <w:p w:rsidRPr="009F46E4" w:rsidR="009F46E4" w:rsidP="009F46E4" w:rsidRDefault="009F46E4" w14:paraId="4E180C22" w14:textId="4DF27C4C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 w:rsidRPr="009F46E4">
                            <w:rPr>
                              <w:b/>
                              <w:bCs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Quick Reference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06B810">
              <v:stroke joinstyle="miter"/>
              <v:path gradientshapeok="t" o:connecttype="rect"/>
            </v:shapetype>
            <v:shape id="Text Box 1" style="position:absolute;margin-left:-6.5pt;margin-top:-24.9pt;width:415.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">
              <v:textbox>
                <w:txbxContent>
                  <w:p w:rsidRPr="009F46E4" w:rsidR="009F46E4" w:rsidP="009F46E4" w:rsidRDefault="009F46E4" w14:paraId="6A9746C0" w14:textId="0EF9D9D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 w:rsidRPr="009F46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>City of Greater Dandenong Procurement</w:t>
                    </w:r>
                  </w:p>
                  <w:p w:rsidRPr="009F46E4" w:rsidR="009F46E4" w:rsidP="009F46E4" w:rsidRDefault="009F46E4" w14:paraId="4E180C22" w14:textId="4DF27C4C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9F46E4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Quick Reference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169E">
      <w:rPr>
        <w:noProof/>
        <w:lang w:val="en-AU" w:eastAsia="en-AU"/>
      </w:rPr>
      <w:drawing>
        <wp:anchor distT="0" distB="0" distL="114300" distR="114300" simplePos="0" relativeHeight="251670528" behindDoc="1" locked="0" layoutInCell="1" allowOverlap="1" wp14:anchorId="7E186515" wp14:editId="1C032E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904875"/>
          <wp:effectExtent l="0" t="0" r="1905" b="9525"/>
          <wp:wrapNone/>
          <wp:docPr id="900775977" name="Picture 11" descr="Design:DAN_City of Greater Dandenong:DAN1048_MicrosoftTemplates:Design:Imported Graphics:Photoshop:Low Res:Word:Head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ign:DAN_City of Greater Dandenong:DAN1048_MicrosoftTemplates:Design:Imported Graphics:Photoshop:Low Res:Word:Head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62A94" w:rsidR="00567132" w:rsidP="00A62A94" w:rsidRDefault="00C1169E" w14:paraId="26FE477C" w14:textId="7777777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 wp14:anchorId="5C0CBE07" wp14:editId="6FE2FA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3400"/>
          <wp:effectExtent l="0" t="0" r="8890" b="0"/>
          <wp:wrapNone/>
          <wp:docPr id="85703375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7BA"/>
    <w:multiLevelType w:val="hybridMultilevel"/>
    <w:tmpl w:val="E92AA0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F66AA"/>
    <w:multiLevelType w:val="hybridMultilevel"/>
    <w:tmpl w:val="A0F6998C"/>
    <w:lvl w:ilvl="0" w:tplc="0DA605F2">
      <w:numFmt w:val="bullet"/>
      <w:lvlText w:val="•"/>
      <w:lvlJc w:val="left"/>
      <w:pPr>
        <w:ind w:left="1080" w:hanging="72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EF28A2"/>
    <w:multiLevelType w:val="hybridMultilevel"/>
    <w:tmpl w:val="4F7E0B3A"/>
    <w:lvl w:ilvl="0" w:tplc="0DA605F2">
      <w:numFmt w:val="bullet"/>
      <w:lvlText w:val="•"/>
      <w:lvlJc w:val="left"/>
      <w:pPr>
        <w:ind w:left="1080" w:hanging="72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FB40B8"/>
    <w:multiLevelType w:val="hybridMultilevel"/>
    <w:tmpl w:val="0276B8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9C4BC7"/>
    <w:multiLevelType w:val="hybridMultilevel"/>
    <w:tmpl w:val="B43AA5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9304D1"/>
    <w:multiLevelType w:val="hybridMultilevel"/>
    <w:tmpl w:val="03FC36E6"/>
    <w:lvl w:ilvl="0" w:tplc="007A809A">
      <w:start w:val="1"/>
      <w:numFmt w:val="bullet"/>
      <w:lvlText w:val="-"/>
      <w:lvlJc w:val="left"/>
      <w:pPr>
        <w:ind w:left="720" w:hanging="36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F600F"/>
    <w:multiLevelType w:val="hybridMultilevel"/>
    <w:tmpl w:val="AFFA8B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F04423"/>
    <w:multiLevelType w:val="hybridMultilevel"/>
    <w:tmpl w:val="7298C2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BBD"/>
    <w:multiLevelType w:val="hybridMultilevel"/>
    <w:tmpl w:val="7F0A357A"/>
    <w:lvl w:ilvl="0" w:tplc="0DA605F2">
      <w:numFmt w:val="bullet"/>
      <w:lvlText w:val="•"/>
      <w:lvlJc w:val="left"/>
      <w:pPr>
        <w:ind w:left="1080" w:hanging="72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F0612E"/>
    <w:multiLevelType w:val="hybridMultilevel"/>
    <w:tmpl w:val="B8D0A7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C27429"/>
    <w:multiLevelType w:val="hybridMultilevel"/>
    <w:tmpl w:val="50A2D694"/>
    <w:lvl w:ilvl="0" w:tplc="007A809A">
      <w:start w:val="1"/>
      <w:numFmt w:val="bullet"/>
      <w:lvlText w:val="-"/>
      <w:lvlJc w:val="left"/>
      <w:pPr>
        <w:ind w:left="720" w:hanging="36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2F3FFC"/>
    <w:multiLevelType w:val="hybridMultilevel"/>
    <w:tmpl w:val="B59E16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164080"/>
    <w:multiLevelType w:val="hybridMultilevel"/>
    <w:tmpl w:val="40F66E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EA1510"/>
    <w:multiLevelType w:val="hybridMultilevel"/>
    <w:tmpl w:val="0AAEFD0A"/>
    <w:lvl w:ilvl="0" w:tplc="007A809A">
      <w:start w:val="1"/>
      <w:numFmt w:val="bullet"/>
      <w:lvlText w:val="-"/>
      <w:lvlJc w:val="left"/>
      <w:pPr>
        <w:ind w:left="720" w:hanging="360"/>
      </w:pPr>
      <w:rPr>
        <w:rFonts w:hint="default" w:ascii="ArialMT" w:hAnsi="ArialMT" w:eastAsia="MS Mincho" w:cs="ArialM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1798826">
    <w:abstractNumId w:val="12"/>
  </w:num>
  <w:num w:numId="2" w16cid:durableId="2131707535">
    <w:abstractNumId w:val="12"/>
  </w:num>
  <w:num w:numId="3" w16cid:durableId="632951920">
    <w:abstractNumId w:val="6"/>
  </w:num>
  <w:num w:numId="4" w16cid:durableId="939069930">
    <w:abstractNumId w:val="9"/>
  </w:num>
  <w:num w:numId="5" w16cid:durableId="1171067281">
    <w:abstractNumId w:val="4"/>
  </w:num>
  <w:num w:numId="6" w16cid:durableId="1477719371">
    <w:abstractNumId w:val="3"/>
  </w:num>
  <w:num w:numId="7" w16cid:durableId="516576636">
    <w:abstractNumId w:val="7"/>
  </w:num>
  <w:num w:numId="8" w16cid:durableId="1083799803">
    <w:abstractNumId w:val="0"/>
  </w:num>
  <w:num w:numId="9" w16cid:durableId="314996369">
    <w:abstractNumId w:val="11"/>
  </w:num>
  <w:num w:numId="10" w16cid:durableId="459811859">
    <w:abstractNumId w:val="2"/>
  </w:num>
  <w:num w:numId="11" w16cid:durableId="292684135">
    <w:abstractNumId w:val="1"/>
  </w:num>
  <w:num w:numId="12" w16cid:durableId="575554726">
    <w:abstractNumId w:val="8"/>
  </w:num>
  <w:num w:numId="13" w16cid:durableId="1517038667">
    <w:abstractNumId w:val="13"/>
  </w:num>
  <w:num w:numId="14" w16cid:durableId="826941948">
    <w:abstractNumId w:val="10"/>
  </w:num>
  <w:num w:numId="15" w16cid:durableId="532117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3"/>
    <w:rsid w:val="00016FC9"/>
    <w:rsid w:val="00054231"/>
    <w:rsid w:val="00057C21"/>
    <w:rsid w:val="00077A79"/>
    <w:rsid w:val="00084F56"/>
    <w:rsid w:val="00090187"/>
    <w:rsid w:val="00091955"/>
    <w:rsid w:val="00095B15"/>
    <w:rsid w:val="000A78DE"/>
    <w:rsid w:val="000D5AF0"/>
    <w:rsid w:val="00122CD9"/>
    <w:rsid w:val="00157D59"/>
    <w:rsid w:val="00192A80"/>
    <w:rsid w:val="00197CB0"/>
    <w:rsid w:val="001A35D4"/>
    <w:rsid w:val="001C549D"/>
    <w:rsid w:val="001E571E"/>
    <w:rsid w:val="001F4302"/>
    <w:rsid w:val="00217BC2"/>
    <w:rsid w:val="0022304F"/>
    <w:rsid w:val="0024140D"/>
    <w:rsid w:val="00251F36"/>
    <w:rsid w:val="0025667E"/>
    <w:rsid w:val="00280FED"/>
    <w:rsid w:val="002A143A"/>
    <w:rsid w:val="002C6A31"/>
    <w:rsid w:val="002C7860"/>
    <w:rsid w:val="002D62B0"/>
    <w:rsid w:val="002D6835"/>
    <w:rsid w:val="002E318B"/>
    <w:rsid w:val="002E4D84"/>
    <w:rsid w:val="00314A18"/>
    <w:rsid w:val="00322123"/>
    <w:rsid w:val="0032225C"/>
    <w:rsid w:val="003370D0"/>
    <w:rsid w:val="00344356"/>
    <w:rsid w:val="00353E2E"/>
    <w:rsid w:val="00357C9E"/>
    <w:rsid w:val="003913C2"/>
    <w:rsid w:val="00391627"/>
    <w:rsid w:val="00394A1C"/>
    <w:rsid w:val="003A0AE3"/>
    <w:rsid w:val="003C5792"/>
    <w:rsid w:val="003F2E64"/>
    <w:rsid w:val="003F4A04"/>
    <w:rsid w:val="004271DC"/>
    <w:rsid w:val="00436D3D"/>
    <w:rsid w:val="00447143"/>
    <w:rsid w:val="0046216A"/>
    <w:rsid w:val="004748A4"/>
    <w:rsid w:val="004953EE"/>
    <w:rsid w:val="004A5BDC"/>
    <w:rsid w:val="004A78E7"/>
    <w:rsid w:val="004D28A3"/>
    <w:rsid w:val="004E1FA9"/>
    <w:rsid w:val="0052209D"/>
    <w:rsid w:val="00524AF9"/>
    <w:rsid w:val="005622C1"/>
    <w:rsid w:val="0056253C"/>
    <w:rsid w:val="00562D38"/>
    <w:rsid w:val="00567132"/>
    <w:rsid w:val="0058166F"/>
    <w:rsid w:val="00595607"/>
    <w:rsid w:val="005A02A4"/>
    <w:rsid w:val="005C01D7"/>
    <w:rsid w:val="005E1A08"/>
    <w:rsid w:val="005E7050"/>
    <w:rsid w:val="005F4BDB"/>
    <w:rsid w:val="005F56BC"/>
    <w:rsid w:val="00662FDA"/>
    <w:rsid w:val="006758A1"/>
    <w:rsid w:val="006B0125"/>
    <w:rsid w:val="006B7747"/>
    <w:rsid w:val="006C1DD1"/>
    <w:rsid w:val="006E1EDA"/>
    <w:rsid w:val="006E756C"/>
    <w:rsid w:val="006F601E"/>
    <w:rsid w:val="0075366E"/>
    <w:rsid w:val="0075547D"/>
    <w:rsid w:val="007879C2"/>
    <w:rsid w:val="00790D62"/>
    <w:rsid w:val="007D4617"/>
    <w:rsid w:val="008041DE"/>
    <w:rsid w:val="00810B88"/>
    <w:rsid w:val="0081605F"/>
    <w:rsid w:val="008303B9"/>
    <w:rsid w:val="00845621"/>
    <w:rsid w:val="008505A1"/>
    <w:rsid w:val="00852D45"/>
    <w:rsid w:val="008A5818"/>
    <w:rsid w:val="008B7B50"/>
    <w:rsid w:val="008E017D"/>
    <w:rsid w:val="008E4936"/>
    <w:rsid w:val="009103C6"/>
    <w:rsid w:val="009155F8"/>
    <w:rsid w:val="00920629"/>
    <w:rsid w:val="00953D2A"/>
    <w:rsid w:val="00984D14"/>
    <w:rsid w:val="009F46E4"/>
    <w:rsid w:val="00A62A94"/>
    <w:rsid w:val="00A83F16"/>
    <w:rsid w:val="00AD1619"/>
    <w:rsid w:val="00AD7433"/>
    <w:rsid w:val="00AE7FBB"/>
    <w:rsid w:val="00B22CD3"/>
    <w:rsid w:val="00B7659C"/>
    <w:rsid w:val="00BD6FE6"/>
    <w:rsid w:val="00BE0053"/>
    <w:rsid w:val="00C07FEA"/>
    <w:rsid w:val="00C1169E"/>
    <w:rsid w:val="00C16B48"/>
    <w:rsid w:val="00C3652C"/>
    <w:rsid w:val="00C407D1"/>
    <w:rsid w:val="00C4343E"/>
    <w:rsid w:val="00C43B0D"/>
    <w:rsid w:val="00CA145D"/>
    <w:rsid w:val="00CA5CF3"/>
    <w:rsid w:val="00CB4041"/>
    <w:rsid w:val="00CF4231"/>
    <w:rsid w:val="00D056E2"/>
    <w:rsid w:val="00D0669A"/>
    <w:rsid w:val="00D07BAA"/>
    <w:rsid w:val="00D36D2F"/>
    <w:rsid w:val="00D64117"/>
    <w:rsid w:val="00DB4923"/>
    <w:rsid w:val="00DC1B05"/>
    <w:rsid w:val="00E27D8B"/>
    <w:rsid w:val="00E342EE"/>
    <w:rsid w:val="00E71B9C"/>
    <w:rsid w:val="00EB69CE"/>
    <w:rsid w:val="00F07A23"/>
    <w:rsid w:val="00F70292"/>
    <w:rsid w:val="00F80C06"/>
    <w:rsid w:val="00F9580B"/>
    <w:rsid w:val="00FC436D"/>
    <w:rsid w:val="112B39CC"/>
    <w:rsid w:val="2C1ACA6B"/>
    <w:rsid w:val="70879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5847E1"/>
  <w14:defaultImageDpi w14:val="300"/>
  <w15:docId w15:val="{7A1C697F-56E2-4D55-A2EE-748BF43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hAnsi="Cambria" w:eastAsia="MS Mincho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A04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ArialMT" w:hAnsi="ArialMT" w:cs="ArialMT"/>
      <w:color w:val="000000"/>
      <w:sz w:val="22"/>
      <w:szCs w:val="22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1169E"/>
    <w:pPr>
      <w:outlineLvl w:val="0"/>
    </w:pPr>
    <w:rPr>
      <w:rFonts w:ascii="Arial-BoldMT" w:hAnsi="Arial-BoldMT" w:cs="Arial-BoldMT"/>
      <w:b/>
      <w:bCs/>
      <w:color w:val="103A6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69E"/>
    <w:pPr>
      <w:outlineLvl w:val="1"/>
    </w:pPr>
    <w:rPr>
      <w:b/>
      <w:color w:val="0093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4A04"/>
    <w:pPr>
      <w:outlineLvl w:val="2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ATableStyle" w:customStyle="1">
    <w:name w:val="A Table Style"/>
    <w:basedOn w:val="TableNormal"/>
    <w:uiPriority w:val="99"/>
    <w:rsid w:val="00090187"/>
    <w:rPr>
      <w:rFonts w:ascii="Arial" w:hAnsi="Arial"/>
      <w:sz w:val="18"/>
      <w:szCs w:val="18"/>
    </w:rPr>
    <w:tblPr>
      <w:tblBorders>
        <w:top w:val="single" w:color="26BEE7" w:sz="4" w:space="0"/>
        <w:bottom w:val="single" w:color="26BEE7" w:sz="4" w:space="0"/>
        <w:insideH w:val="single" w:color="26BEE7" w:sz="4" w:space="0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i w:val="0"/>
        <w:color w:val="FFFFFF"/>
        <w:sz w:val="18"/>
      </w:rPr>
      <w:tblPr/>
      <w:tcPr>
        <w:shd w:val="clear" w:color="auto" w:fill="26BEE7"/>
      </w:tcPr>
    </w:tblStylePr>
    <w:tblStylePr w:type="lastRow">
      <w:tblPr/>
      <w:tcPr>
        <w:shd w:val="clear" w:color="auto" w:fill="DAEE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7BC2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17B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7B50"/>
  </w:style>
  <w:style w:type="paragraph" w:styleId="Footer">
    <w:name w:val="footer"/>
    <w:basedOn w:val="Normal"/>
    <w:link w:val="Foot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7B50"/>
  </w:style>
  <w:style w:type="character" w:styleId="PageNumber">
    <w:name w:val="page number"/>
    <w:basedOn w:val="DefaultParagraphFont"/>
    <w:uiPriority w:val="99"/>
    <w:semiHidden/>
    <w:unhideWhenUsed/>
    <w:rsid w:val="008B7B50"/>
  </w:style>
  <w:style w:type="paragraph" w:styleId="BasicParagraph" w:customStyle="1">
    <w:name w:val="[Basic Paragraph]"/>
    <w:basedOn w:val="Normal"/>
    <w:uiPriority w:val="99"/>
    <w:rsid w:val="003F4A04"/>
    <w:rPr>
      <w:rFonts w:ascii="MinionPro-Regular" w:hAnsi="MinionPro-Regular" w:cs="MinionPro-Regular"/>
    </w:rPr>
  </w:style>
  <w:style w:type="character" w:styleId="Heading1Char" w:customStyle="1">
    <w:name w:val="Heading 1 Char"/>
    <w:link w:val="Heading1"/>
    <w:uiPriority w:val="9"/>
    <w:rsid w:val="00C1169E"/>
    <w:rPr>
      <w:rFonts w:ascii="Arial-BoldMT" w:hAnsi="Arial-BoldMT" w:cs="Arial-BoldMT"/>
      <w:b/>
      <w:bCs/>
      <w:color w:val="103A61"/>
      <w:sz w:val="52"/>
      <w:szCs w:val="52"/>
      <w:lang w:val="en-GB"/>
    </w:rPr>
  </w:style>
  <w:style w:type="character" w:styleId="Heading2Char" w:customStyle="1">
    <w:name w:val="Heading 2 Char"/>
    <w:link w:val="Heading2"/>
    <w:uiPriority w:val="9"/>
    <w:rsid w:val="00C1169E"/>
    <w:rPr>
      <w:rFonts w:ascii="ArialMT" w:hAnsi="ArialMT" w:cs="ArialMT"/>
      <w:b/>
      <w:color w:val="00938B"/>
      <w:sz w:val="32"/>
      <w:szCs w:val="32"/>
      <w:lang w:val="en-GB"/>
    </w:rPr>
  </w:style>
  <w:style w:type="character" w:styleId="Heading3Char" w:customStyle="1">
    <w:name w:val="Heading 3 Char"/>
    <w:link w:val="Heading3"/>
    <w:uiPriority w:val="9"/>
    <w:rsid w:val="003F4A04"/>
    <w:rPr>
      <w:rFonts w:ascii="ArialMT" w:hAnsi="ArialMT" w:cs="ArialMT"/>
      <w:b/>
      <w:i/>
      <w:color w:val="CA3425"/>
      <w:sz w:val="32"/>
      <w:szCs w:val="32"/>
      <w:lang w:val="en-GB"/>
    </w:rPr>
  </w:style>
  <w:style w:type="paragraph" w:styleId="Titlepageheading" w:customStyle="1">
    <w:name w:val="Title page heading"/>
    <w:basedOn w:val="Heading1"/>
    <w:qFormat/>
    <w:rsid w:val="003F4A04"/>
    <w:rPr>
      <w:color w:val="FFFFFF"/>
      <w:sz w:val="100"/>
      <w:szCs w:val="100"/>
    </w:rPr>
  </w:style>
  <w:style w:type="table" w:styleId="TableGrid">
    <w:name w:val="Table Grid"/>
    <w:basedOn w:val="TableNormal"/>
    <w:uiPriority w:val="59"/>
    <w:rsid w:val="009F46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80C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7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F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7FBB"/>
    <w:rPr>
      <w:rFonts w:ascii="ArialMT" w:hAnsi="ArialMT" w:cs="ArialMT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7FBB"/>
    <w:rPr>
      <w:rFonts w:ascii="ArialMT" w:hAnsi="ArialMT" w:cs="ArialMT"/>
      <w:b/>
      <w:bCs/>
      <w:color w:val="000000"/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5547D"/>
    <w:rPr>
      <w:rFonts w:ascii="ArialMT" w:hAnsi="ArialMT" w:cs="ArialMT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878dd53e105e47f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ibbo\AppData\Local\Temp\Temp1_Corporate%20word%20documents%20and%20powerpoint%20templates%20(A5442632).zip\2018.12.07_ppt%20and%20word%20templates\Word%20Templates\DAN1048_Word_Template_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A11543121</value>
    </field>
    <field name="Objective-Title">
      <value order="0">CGD Procurement - QRG02 - Exemptions</value>
    </field>
    <field name="Objective-Description">
      <value order="0">Procurement Guidelines 2024</value>
    </field>
    <field name="Objective-CreationStamp">
      <value order="0">2024-11-27T05:08:34Z</value>
    </field>
    <field name="Objective-IsApproved">
      <value order="0">false</value>
    </field>
    <field name="Objective-IsPublished">
      <value order="0">true</value>
    </field>
    <field name="Objective-DatePublished">
      <value order="0">2024-11-27T05:08:37Z</value>
    </field>
    <field name="Objective-ModificationStamp">
      <value order="0">2025-05-01T04:25:13Z</value>
    </field>
    <field name="Objective-Owner">
      <value order="0">Kosta Tzim</value>
    </field>
    <field name="Objective-Path">
      <value order="0">Objective Global Folder:.Policies and Procedures Folders:Procurement procedures and guidelines:Procurement Guidelines for Business View</value>
    </field>
    <field name="Objective-Parent">
      <value order="0">Procurement Guidelines for Business View</value>
    </field>
    <field name="Objective-State">
      <value order="0">Published</value>
    </field>
    <field name="Objective-VersionId">
      <value order="0">vA14584317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qA542915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DAN1048_Word_Template_5</ap:Template>
  <ap:Application>Microsoft Word for the web</ap:Application>
  <ap:DocSecurity>0</ap:DocSecurity>
  <ap:ScaleCrop>false</ap:ScaleCrop>
  <ap:Company>Twelve Creative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Gibbon, Sia</dc:creator>
  <keywords/>
  <dc:description/>
  <lastModifiedBy>Kosta Tzim</lastModifiedBy>
  <revision>5</revision>
  <lastPrinted>2018-12-07T00:36:00.0000000Z</lastPrinted>
  <dcterms:created xsi:type="dcterms:W3CDTF">2024-11-24T21:36:00.0000000Z</dcterms:created>
  <dcterms:modified xsi:type="dcterms:W3CDTF">2024-11-24T23:45:11.1130014Z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A11543121</vt:lpwstr>
  </property>
  <property fmtid="{D5CDD505-2E9C-101B-9397-08002B2CF9AE}" pid="4" name="Objective-Title">
    <vt:lpwstr>CGD Procurement - QRG02 - Exemptions</vt:lpwstr>
  </property>
  <property fmtid="{D5CDD505-2E9C-101B-9397-08002B2CF9AE}" pid="5" name="Objective-Description">
    <vt:lpwstr>Procurement Guidelines 2024</vt:lpwstr>
  </property>
  <property fmtid="{D5CDD505-2E9C-101B-9397-08002B2CF9AE}" pid="6" name="Objective-CreationStamp">
    <vt:filetime>2024-11-27T05:08:34Z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2024-11-27T05:08:37Z</vt:filetime>
  </property>
  <property fmtid="{D5CDD505-2E9C-101B-9397-08002B2CF9AE}" pid="10" name="Objective-ModificationStamp">
    <vt:filetime>2025-05-01T04:25:13Z</vt:filetime>
  </property>
  <property fmtid="{D5CDD505-2E9C-101B-9397-08002B2CF9AE}" pid="11" name="Objective-Owner">
    <vt:lpwstr>Kosta Tzim</vt:lpwstr>
  </property>
  <property fmtid="{D5CDD505-2E9C-101B-9397-08002B2CF9AE}" pid="12" name="Objective-Path">
    <vt:lpwstr>Objective Global Folder:.Policies and Procedures Folders:Procurement procedures and guidelines:Procurement Guidelines for Business View</vt:lpwstr>
  </property>
  <property fmtid="{D5CDD505-2E9C-101B-9397-08002B2CF9AE}" pid="13" name="Objective-Parent">
    <vt:lpwstr>Procurement Guidelines for Business View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vA14584317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qA542915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