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3D062" w14:textId="72D5E52B" w:rsidR="008041DE" w:rsidRDefault="00A60787" w:rsidP="008041DE">
      <w:pPr>
        <w:pStyle w:val="Heading1"/>
      </w:pPr>
      <w:r>
        <w:t>Procurement Service Timelines</w:t>
      </w:r>
    </w:p>
    <w:p w14:paraId="72CE7462" w14:textId="77777777" w:rsidR="00F70292" w:rsidRPr="00F70292" w:rsidRDefault="00F70292" w:rsidP="008303B9">
      <w:pPr>
        <w:spacing w:after="0"/>
      </w:pPr>
    </w:p>
    <w:tbl>
      <w:tblPr>
        <w:tblStyle w:val="TableGrid"/>
        <w:tblW w:w="8359" w:type="dxa"/>
        <w:tblLook w:val="04A0" w:firstRow="1" w:lastRow="0" w:firstColumn="1" w:lastColumn="0" w:noHBand="0" w:noVBand="1"/>
      </w:tblPr>
      <w:tblGrid>
        <w:gridCol w:w="2786"/>
        <w:gridCol w:w="1393"/>
        <w:gridCol w:w="1393"/>
        <w:gridCol w:w="2787"/>
      </w:tblGrid>
      <w:tr w:rsidR="00091955" w:rsidRPr="000D5AF0" w14:paraId="0CB64A97" w14:textId="20B249ED" w:rsidTr="00091955">
        <w:tc>
          <w:tcPr>
            <w:tcW w:w="4179" w:type="dxa"/>
            <w:gridSpan w:val="2"/>
            <w:vAlign w:val="center"/>
          </w:tcPr>
          <w:p w14:paraId="44E8BF7A" w14:textId="772DBC7B" w:rsidR="00091955" w:rsidRPr="000D5AF0" w:rsidRDefault="00091955" w:rsidP="00F70292">
            <w:pPr>
              <w:pStyle w:val="Heading1"/>
              <w:spacing w:after="0"/>
              <w:rPr>
                <w:b w:val="0"/>
                <w:bCs w:val="0"/>
                <w:sz w:val="22"/>
                <w:szCs w:val="22"/>
              </w:rPr>
            </w:pPr>
            <w:r w:rsidRPr="000D5AF0">
              <w:rPr>
                <w:sz w:val="22"/>
                <w:szCs w:val="22"/>
              </w:rPr>
              <w:t>Quick Reference Guide No.</w:t>
            </w:r>
          </w:p>
        </w:tc>
        <w:tc>
          <w:tcPr>
            <w:tcW w:w="4180" w:type="dxa"/>
            <w:gridSpan w:val="2"/>
          </w:tcPr>
          <w:p w14:paraId="72CABF58" w14:textId="76A2E265" w:rsidR="00091955" w:rsidRPr="000D5AF0" w:rsidRDefault="00091955" w:rsidP="00F70292">
            <w:pPr>
              <w:pStyle w:val="Heading1"/>
              <w:spacing w:after="0"/>
              <w:rPr>
                <w:b w:val="0"/>
                <w:bCs w:val="0"/>
                <w:sz w:val="22"/>
                <w:szCs w:val="22"/>
              </w:rPr>
            </w:pPr>
            <w:r w:rsidRPr="000D5AF0">
              <w:rPr>
                <w:b w:val="0"/>
                <w:bCs w:val="0"/>
                <w:sz w:val="22"/>
                <w:szCs w:val="22"/>
              </w:rPr>
              <w:t>QRG-0</w:t>
            </w:r>
            <w:r w:rsidR="001C0950">
              <w:rPr>
                <w:b w:val="0"/>
                <w:bCs w:val="0"/>
                <w:sz w:val="22"/>
                <w:szCs w:val="22"/>
              </w:rPr>
              <w:t>3</w:t>
            </w:r>
          </w:p>
        </w:tc>
      </w:tr>
      <w:tr w:rsidR="00091955" w:rsidRPr="000D5AF0" w14:paraId="327B02F4" w14:textId="77777777" w:rsidTr="00091955">
        <w:tc>
          <w:tcPr>
            <w:tcW w:w="4179" w:type="dxa"/>
            <w:gridSpan w:val="2"/>
            <w:vAlign w:val="center"/>
          </w:tcPr>
          <w:p w14:paraId="0706B25C" w14:textId="4F27CCF4" w:rsidR="00091955" w:rsidRPr="000D5AF0" w:rsidRDefault="00091955" w:rsidP="00F70292">
            <w:pPr>
              <w:pStyle w:val="Heading1"/>
              <w:spacing w:after="0"/>
              <w:rPr>
                <w:b w:val="0"/>
                <w:bCs w:val="0"/>
                <w:sz w:val="22"/>
                <w:szCs w:val="22"/>
              </w:rPr>
            </w:pPr>
            <w:r w:rsidRPr="000D5AF0">
              <w:rPr>
                <w:sz w:val="22"/>
                <w:szCs w:val="22"/>
              </w:rPr>
              <w:t>Quick Reference Guide Name</w:t>
            </w:r>
          </w:p>
        </w:tc>
        <w:tc>
          <w:tcPr>
            <w:tcW w:w="4180" w:type="dxa"/>
            <w:gridSpan w:val="2"/>
          </w:tcPr>
          <w:p w14:paraId="32639C96" w14:textId="14D9EAB3" w:rsidR="00091955" w:rsidRPr="000D5AF0" w:rsidRDefault="001C0950" w:rsidP="00F70292">
            <w:pPr>
              <w:pStyle w:val="Heading1"/>
              <w:spacing w:after="0"/>
              <w:rPr>
                <w:b w:val="0"/>
                <w:bCs w:val="0"/>
                <w:sz w:val="22"/>
                <w:szCs w:val="22"/>
              </w:rPr>
            </w:pPr>
            <w:commentRangeStart w:id="0"/>
            <w:r>
              <w:rPr>
                <w:b w:val="0"/>
                <w:bCs w:val="0"/>
                <w:sz w:val="22"/>
                <w:szCs w:val="22"/>
              </w:rPr>
              <w:t>Service Levels</w:t>
            </w:r>
            <w:commentRangeEnd w:id="0"/>
            <w:r w:rsidR="009108D7">
              <w:rPr>
                <w:rStyle w:val="CommentReference"/>
                <w:rFonts w:ascii="ArialMT" w:hAnsi="ArialMT" w:cs="ArialMT"/>
                <w:b w:val="0"/>
                <w:bCs w:val="0"/>
                <w:color w:val="000000"/>
              </w:rPr>
              <w:commentReference w:id="0"/>
            </w:r>
          </w:p>
        </w:tc>
      </w:tr>
      <w:tr w:rsidR="00091955" w:rsidRPr="000D5AF0" w14:paraId="2E55CC66" w14:textId="25157153" w:rsidTr="00091955">
        <w:tc>
          <w:tcPr>
            <w:tcW w:w="4179" w:type="dxa"/>
            <w:gridSpan w:val="2"/>
            <w:vAlign w:val="center"/>
          </w:tcPr>
          <w:p w14:paraId="28043EA8" w14:textId="47F53497" w:rsidR="00091955" w:rsidRPr="000D5AF0" w:rsidRDefault="00091955" w:rsidP="00F70292">
            <w:pPr>
              <w:pStyle w:val="Heading1"/>
              <w:spacing w:after="0"/>
              <w:rPr>
                <w:b w:val="0"/>
                <w:bCs w:val="0"/>
                <w:sz w:val="22"/>
                <w:szCs w:val="22"/>
              </w:rPr>
            </w:pPr>
            <w:r w:rsidRPr="000D5AF0">
              <w:rPr>
                <w:sz w:val="22"/>
                <w:szCs w:val="22"/>
              </w:rPr>
              <w:t>Quick Reference Guide Owner</w:t>
            </w:r>
          </w:p>
        </w:tc>
        <w:tc>
          <w:tcPr>
            <w:tcW w:w="4180" w:type="dxa"/>
            <w:gridSpan w:val="2"/>
          </w:tcPr>
          <w:p w14:paraId="42A939D8" w14:textId="26F53523" w:rsidR="00091955" w:rsidRPr="000D5AF0" w:rsidRDefault="00091955" w:rsidP="00F70292">
            <w:pPr>
              <w:pStyle w:val="Heading1"/>
              <w:spacing w:after="0"/>
              <w:rPr>
                <w:b w:val="0"/>
                <w:bCs w:val="0"/>
                <w:sz w:val="22"/>
                <w:szCs w:val="22"/>
              </w:rPr>
            </w:pPr>
            <w:r w:rsidRPr="000D5AF0">
              <w:rPr>
                <w:b w:val="0"/>
                <w:bCs w:val="0"/>
                <w:sz w:val="22"/>
                <w:szCs w:val="22"/>
              </w:rPr>
              <w:t>Procurement Manager</w:t>
            </w:r>
          </w:p>
        </w:tc>
      </w:tr>
      <w:tr w:rsidR="00091955" w:rsidRPr="000D5AF0" w14:paraId="798A8101" w14:textId="77777777" w:rsidTr="00091955">
        <w:trPr>
          <w:trHeight w:val="218"/>
        </w:trPr>
        <w:tc>
          <w:tcPr>
            <w:tcW w:w="8359" w:type="dxa"/>
            <w:gridSpan w:val="4"/>
            <w:shd w:val="clear" w:color="auto" w:fill="F2F2F2" w:themeFill="background1" w:themeFillShade="F2"/>
          </w:tcPr>
          <w:p w14:paraId="386E4644" w14:textId="45E47CB0" w:rsidR="00091955" w:rsidRPr="000D5AF0" w:rsidRDefault="00091955" w:rsidP="00F70292">
            <w:pPr>
              <w:pStyle w:val="Heading1"/>
              <w:spacing w:after="0"/>
              <w:rPr>
                <w:sz w:val="22"/>
                <w:szCs w:val="22"/>
              </w:rPr>
            </w:pPr>
          </w:p>
        </w:tc>
      </w:tr>
      <w:tr w:rsidR="00091955" w:rsidRPr="000D5AF0" w14:paraId="1D16C133" w14:textId="7E8678D5" w:rsidTr="00091955">
        <w:tc>
          <w:tcPr>
            <w:tcW w:w="2786" w:type="dxa"/>
            <w:vAlign w:val="center"/>
          </w:tcPr>
          <w:p w14:paraId="4F93A0FA" w14:textId="41D54D89" w:rsidR="00091955" w:rsidRPr="000D5AF0" w:rsidRDefault="00091955" w:rsidP="00F70292">
            <w:pPr>
              <w:pStyle w:val="Heading1"/>
              <w:spacing w:after="0"/>
              <w:jc w:val="center"/>
              <w:rPr>
                <w:sz w:val="22"/>
                <w:szCs w:val="22"/>
              </w:rPr>
            </w:pPr>
            <w:r w:rsidRPr="000D5AF0">
              <w:rPr>
                <w:sz w:val="22"/>
                <w:szCs w:val="22"/>
              </w:rPr>
              <w:t>Version No.</w:t>
            </w:r>
          </w:p>
        </w:tc>
        <w:tc>
          <w:tcPr>
            <w:tcW w:w="2786" w:type="dxa"/>
            <w:gridSpan w:val="2"/>
          </w:tcPr>
          <w:p w14:paraId="091B8829" w14:textId="5B43F43A" w:rsidR="00091955" w:rsidRPr="000D5AF0" w:rsidRDefault="00091955" w:rsidP="00F70292">
            <w:pPr>
              <w:pStyle w:val="Heading1"/>
              <w:spacing w:after="0"/>
              <w:jc w:val="center"/>
              <w:rPr>
                <w:sz w:val="22"/>
                <w:szCs w:val="22"/>
              </w:rPr>
            </w:pPr>
            <w:r w:rsidRPr="000D5AF0">
              <w:rPr>
                <w:sz w:val="22"/>
                <w:szCs w:val="22"/>
              </w:rPr>
              <w:t>Status</w:t>
            </w:r>
          </w:p>
        </w:tc>
        <w:tc>
          <w:tcPr>
            <w:tcW w:w="2787" w:type="dxa"/>
            <w:vAlign w:val="center"/>
          </w:tcPr>
          <w:p w14:paraId="07D67FB0" w14:textId="5C3F7294" w:rsidR="00091955" w:rsidRPr="000D5AF0" w:rsidRDefault="00091955" w:rsidP="00F70292">
            <w:pPr>
              <w:pStyle w:val="Heading1"/>
              <w:spacing w:after="0"/>
              <w:jc w:val="center"/>
              <w:rPr>
                <w:sz w:val="22"/>
                <w:szCs w:val="22"/>
              </w:rPr>
            </w:pPr>
            <w:r w:rsidRPr="000D5AF0">
              <w:rPr>
                <w:sz w:val="22"/>
                <w:szCs w:val="22"/>
              </w:rPr>
              <w:t>Issue Date</w:t>
            </w:r>
          </w:p>
        </w:tc>
      </w:tr>
      <w:tr w:rsidR="00091955" w:rsidRPr="000D5AF0" w14:paraId="3A1370DA" w14:textId="0B473B6C" w:rsidTr="00091955">
        <w:tc>
          <w:tcPr>
            <w:tcW w:w="2786" w:type="dxa"/>
            <w:vAlign w:val="center"/>
          </w:tcPr>
          <w:p w14:paraId="4EBCF964" w14:textId="347FDF37" w:rsidR="00091955" w:rsidRPr="000D5AF0" w:rsidRDefault="00091955" w:rsidP="00F70292">
            <w:pPr>
              <w:pStyle w:val="Heading1"/>
              <w:spacing w:after="0"/>
              <w:jc w:val="center"/>
              <w:rPr>
                <w:b w:val="0"/>
                <w:bCs w:val="0"/>
                <w:sz w:val="22"/>
                <w:szCs w:val="22"/>
              </w:rPr>
            </w:pPr>
            <w:r w:rsidRPr="000D5AF0">
              <w:rPr>
                <w:b w:val="0"/>
                <w:bCs w:val="0"/>
                <w:sz w:val="22"/>
                <w:szCs w:val="22"/>
              </w:rPr>
              <w:t>0.</w:t>
            </w:r>
            <w:r w:rsidR="007054CA">
              <w:rPr>
                <w:b w:val="0"/>
                <w:bCs w:val="0"/>
                <w:sz w:val="22"/>
                <w:szCs w:val="22"/>
              </w:rPr>
              <w:t>2</w:t>
            </w:r>
          </w:p>
        </w:tc>
        <w:tc>
          <w:tcPr>
            <w:tcW w:w="2786" w:type="dxa"/>
            <w:gridSpan w:val="2"/>
          </w:tcPr>
          <w:p w14:paraId="31AFAFAA" w14:textId="15299728" w:rsidR="00091955" w:rsidRPr="000D5AF0" w:rsidRDefault="007054CA" w:rsidP="00F70292">
            <w:pPr>
              <w:pStyle w:val="Heading1"/>
              <w:spacing w:after="0"/>
              <w:jc w:val="center"/>
              <w:rPr>
                <w:b w:val="0"/>
                <w:bCs w:val="0"/>
                <w:sz w:val="22"/>
                <w:szCs w:val="22"/>
              </w:rPr>
            </w:pPr>
            <w:r>
              <w:rPr>
                <w:b w:val="0"/>
                <w:bCs w:val="0"/>
                <w:sz w:val="22"/>
                <w:szCs w:val="22"/>
              </w:rPr>
              <w:t>2nd Draft</w:t>
            </w:r>
          </w:p>
        </w:tc>
        <w:tc>
          <w:tcPr>
            <w:tcW w:w="2787" w:type="dxa"/>
            <w:vAlign w:val="center"/>
          </w:tcPr>
          <w:p w14:paraId="46BF54DB" w14:textId="1A1CF09B" w:rsidR="00091955" w:rsidRPr="000D5AF0" w:rsidRDefault="007054CA" w:rsidP="00F70292">
            <w:pPr>
              <w:pStyle w:val="Heading1"/>
              <w:spacing w:after="0"/>
              <w:jc w:val="center"/>
              <w:rPr>
                <w:b w:val="0"/>
                <w:bCs w:val="0"/>
                <w:sz w:val="22"/>
                <w:szCs w:val="22"/>
              </w:rPr>
            </w:pPr>
            <w:r>
              <w:rPr>
                <w:b w:val="0"/>
                <w:bCs w:val="0"/>
                <w:sz w:val="22"/>
                <w:szCs w:val="22"/>
              </w:rPr>
              <w:t>11.11.24</w:t>
            </w:r>
          </w:p>
        </w:tc>
      </w:tr>
      <w:tr w:rsidR="00091955" w:rsidRPr="000D5AF0" w14:paraId="4526ABE7" w14:textId="77777777" w:rsidTr="00091955">
        <w:tc>
          <w:tcPr>
            <w:tcW w:w="2786" w:type="dxa"/>
            <w:vAlign w:val="center"/>
          </w:tcPr>
          <w:p w14:paraId="7ABD28E1" w14:textId="77777777" w:rsidR="00091955" w:rsidRPr="000D5AF0" w:rsidRDefault="00091955" w:rsidP="00F70292">
            <w:pPr>
              <w:pStyle w:val="Heading1"/>
              <w:spacing w:after="0"/>
              <w:jc w:val="center"/>
              <w:rPr>
                <w:b w:val="0"/>
                <w:bCs w:val="0"/>
                <w:sz w:val="22"/>
                <w:szCs w:val="22"/>
              </w:rPr>
            </w:pPr>
          </w:p>
        </w:tc>
        <w:tc>
          <w:tcPr>
            <w:tcW w:w="2786" w:type="dxa"/>
            <w:gridSpan w:val="2"/>
          </w:tcPr>
          <w:p w14:paraId="6E6EB3B1" w14:textId="77777777" w:rsidR="00091955" w:rsidRPr="000D5AF0" w:rsidRDefault="00091955" w:rsidP="00F70292">
            <w:pPr>
              <w:pStyle w:val="Heading1"/>
              <w:spacing w:after="0"/>
              <w:jc w:val="center"/>
              <w:rPr>
                <w:b w:val="0"/>
                <w:bCs w:val="0"/>
                <w:sz w:val="22"/>
                <w:szCs w:val="22"/>
              </w:rPr>
            </w:pPr>
          </w:p>
        </w:tc>
        <w:tc>
          <w:tcPr>
            <w:tcW w:w="2787" w:type="dxa"/>
            <w:vAlign w:val="center"/>
          </w:tcPr>
          <w:p w14:paraId="45D6311B" w14:textId="3BF2D8AA" w:rsidR="00091955" w:rsidRPr="000D5AF0" w:rsidRDefault="00091955" w:rsidP="00F70292">
            <w:pPr>
              <w:pStyle w:val="Heading1"/>
              <w:spacing w:after="0"/>
              <w:jc w:val="center"/>
              <w:rPr>
                <w:b w:val="0"/>
                <w:bCs w:val="0"/>
                <w:sz w:val="22"/>
                <w:szCs w:val="22"/>
              </w:rPr>
            </w:pPr>
          </w:p>
        </w:tc>
      </w:tr>
    </w:tbl>
    <w:p w14:paraId="1930358D" w14:textId="0304AF7B" w:rsidR="00F70292" w:rsidRDefault="00F70292" w:rsidP="00F70292"/>
    <w:p w14:paraId="10344DAB" w14:textId="0C7340F8" w:rsidR="00E71B9C" w:rsidRPr="008303B9" w:rsidRDefault="00663D18" w:rsidP="00E71B9C">
      <w:pPr>
        <w:pStyle w:val="Heading2"/>
      </w:pPr>
      <w:r>
        <w:t xml:space="preserve">Typical Times for </w:t>
      </w:r>
      <w:r w:rsidR="00A32DA9">
        <w:t>Request</w:t>
      </w:r>
      <w:r>
        <w:t>s</w:t>
      </w:r>
      <w:r w:rsidR="00A32DA9">
        <w:t xml:space="preserve"> for </w:t>
      </w:r>
      <w:r>
        <w:t>Tender</w:t>
      </w:r>
    </w:p>
    <w:p w14:paraId="33DBC5DC" w14:textId="5427F5CF" w:rsidR="00A32DA9" w:rsidRDefault="00A32DA9" w:rsidP="009108D7">
      <w:r>
        <w:t xml:space="preserve">The Request for Tender process </w:t>
      </w:r>
      <w:r w:rsidR="00362370">
        <w:t>comprises</w:t>
      </w:r>
      <w:r>
        <w:t xml:space="preserve"> a number of activities</w:t>
      </w:r>
      <w:r w:rsidR="00362370">
        <w:t>:</w:t>
      </w:r>
    </w:p>
    <w:p w14:paraId="3A52D927" w14:textId="5165F081" w:rsidR="00A32DA9" w:rsidRPr="00D229C9" w:rsidRDefault="00A32DA9" w:rsidP="00A32DA9">
      <w:pPr>
        <w:pStyle w:val="ListParagraph"/>
        <w:numPr>
          <w:ilvl w:val="0"/>
          <w:numId w:val="17"/>
        </w:numPr>
        <w:rPr>
          <w:u w:val="single"/>
        </w:rPr>
      </w:pPr>
      <w:r>
        <w:t>Planning and analysis</w:t>
      </w:r>
      <w:r w:rsidR="007E2A4A">
        <w:t xml:space="preserve"> - </w:t>
      </w:r>
      <w:r w:rsidR="007E2A4A" w:rsidRPr="00D229C9">
        <w:rPr>
          <w:u w:val="single"/>
        </w:rPr>
        <w:t xml:space="preserve">The most important to resource and have budget, </w:t>
      </w:r>
      <w:r w:rsidR="00C417BA" w:rsidRPr="00D229C9">
        <w:rPr>
          <w:u w:val="single"/>
        </w:rPr>
        <w:t>capacity,</w:t>
      </w:r>
      <w:r w:rsidR="007E2A4A" w:rsidRPr="00D229C9">
        <w:rPr>
          <w:u w:val="single"/>
        </w:rPr>
        <w:t xml:space="preserve"> and knowledge</w:t>
      </w:r>
    </w:p>
    <w:p w14:paraId="0C960096" w14:textId="1A3B7675" w:rsidR="00A32DA9" w:rsidRPr="00D229C9" w:rsidRDefault="00A32DA9" w:rsidP="00A32DA9">
      <w:pPr>
        <w:pStyle w:val="ListParagraph"/>
        <w:numPr>
          <w:ilvl w:val="0"/>
          <w:numId w:val="17"/>
        </w:numPr>
        <w:rPr>
          <w:u w:val="single"/>
        </w:rPr>
      </w:pPr>
      <w:r>
        <w:t>Go-to-market</w:t>
      </w:r>
      <w:r w:rsidR="00A12968">
        <w:t xml:space="preserve"> - </w:t>
      </w:r>
      <w:r w:rsidR="00A12968" w:rsidRPr="00D229C9">
        <w:rPr>
          <w:u w:val="single"/>
        </w:rPr>
        <w:t>Gaining market position</w:t>
      </w:r>
      <w:r w:rsidR="007E2A4A" w:rsidRPr="00D229C9">
        <w:rPr>
          <w:u w:val="single"/>
        </w:rPr>
        <w:t xml:space="preserve"> intelligence and save money on strategy</w:t>
      </w:r>
    </w:p>
    <w:p w14:paraId="4B7C307C" w14:textId="30BC79BF" w:rsidR="00A32DA9" w:rsidRPr="00D229C9" w:rsidRDefault="00A32DA9" w:rsidP="00A32DA9">
      <w:pPr>
        <w:pStyle w:val="ListParagraph"/>
        <w:numPr>
          <w:ilvl w:val="0"/>
          <w:numId w:val="17"/>
        </w:numPr>
        <w:rPr>
          <w:u w:val="single"/>
        </w:rPr>
      </w:pPr>
      <w:r>
        <w:t>Evaluation</w:t>
      </w:r>
      <w:r w:rsidR="00A12968">
        <w:t xml:space="preserve"> </w:t>
      </w:r>
      <w:r w:rsidR="00D229C9">
        <w:t xml:space="preserve">- </w:t>
      </w:r>
      <w:r w:rsidR="00D229C9">
        <w:tab/>
      </w:r>
      <w:r w:rsidR="00A12968" w:rsidRPr="00D229C9">
        <w:rPr>
          <w:u w:val="single"/>
        </w:rPr>
        <w:t>Policy and best practice</w:t>
      </w:r>
      <w:r w:rsidR="00D229C9">
        <w:rPr>
          <w:u w:val="single"/>
        </w:rPr>
        <w:t>. Is it fair and what can we do better</w:t>
      </w:r>
    </w:p>
    <w:p w14:paraId="72839F33" w14:textId="18DCDE25" w:rsidR="00A32DA9" w:rsidRDefault="00A32DA9" w:rsidP="00A32DA9">
      <w:pPr>
        <w:pStyle w:val="ListParagraph"/>
        <w:numPr>
          <w:ilvl w:val="0"/>
          <w:numId w:val="17"/>
        </w:numPr>
      </w:pPr>
      <w:r>
        <w:t>Negotiation and contract award</w:t>
      </w:r>
      <w:r w:rsidR="007E2A4A">
        <w:t xml:space="preserve"> - </w:t>
      </w:r>
      <w:r w:rsidR="00D229C9" w:rsidRPr="00D229C9">
        <w:rPr>
          <w:u w:val="single"/>
        </w:rPr>
        <w:t>Do we ask suppliers for their best and final offer</w:t>
      </w:r>
      <w:r w:rsidR="00D229C9">
        <w:rPr>
          <w:u w:val="single"/>
        </w:rPr>
        <w:t xml:space="preserve"> - Length of the contract and performance</w:t>
      </w:r>
    </w:p>
    <w:p w14:paraId="7E458561" w14:textId="6457F46A" w:rsidR="00A32DA9" w:rsidRDefault="00A32DA9" w:rsidP="00A32DA9">
      <w:pPr>
        <w:pStyle w:val="ListParagraph"/>
        <w:numPr>
          <w:ilvl w:val="0"/>
          <w:numId w:val="17"/>
        </w:numPr>
      </w:pPr>
      <w:r>
        <w:t>Supplier transition and mobilisation</w:t>
      </w:r>
      <w:r w:rsidR="00A12968">
        <w:t xml:space="preserve"> </w:t>
      </w:r>
      <w:r w:rsidR="003E380E" w:rsidRPr="00C417BA">
        <w:rPr>
          <w:u w:val="single"/>
        </w:rPr>
        <w:t xml:space="preserve">Resources, comms, </w:t>
      </w:r>
      <w:r w:rsidR="00C417BA" w:rsidRPr="00C417BA">
        <w:rPr>
          <w:u w:val="single"/>
        </w:rPr>
        <w:t>staff,</w:t>
      </w:r>
      <w:r w:rsidR="003E380E" w:rsidRPr="00C417BA">
        <w:rPr>
          <w:u w:val="single"/>
        </w:rPr>
        <w:t xml:space="preserve"> and capability - risks (OH&amp;S) safety of </w:t>
      </w:r>
      <w:r w:rsidR="008C2D7A" w:rsidRPr="00C417BA">
        <w:rPr>
          <w:u w:val="single"/>
        </w:rPr>
        <w:t xml:space="preserve">staff </w:t>
      </w:r>
      <w:proofErr w:type="gramStart"/>
      <w:r w:rsidR="008C2D7A" w:rsidRPr="00C417BA">
        <w:rPr>
          <w:u w:val="single"/>
        </w:rPr>
        <w:t>etc</w:t>
      </w:r>
      <w:proofErr w:type="gramEnd"/>
    </w:p>
    <w:p w14:paraId="1BF72291" w14:textId="2960BDC4" w:rsidR="00C63E5E" w:rsidRDefault="00A32DA9" w:rsidP="009108D7">
      <w:r>
        <w:t xml:space="preserve">The typical elapsed time to perform these activities varies depending on the complexity of the requirement and the nature and knowledge of the supply market. </w:t>
      </w:r>
      <w:r w:rsidR="00BC3DF7">
        <w:t xml:space="preserve">These activities will </w:t>
      </w:r>
      <w:r w:rsidR="00F853BC">
        <w:t xml:space="preserve">be documented in 2025 for our </w:t>
      </w:r>
      <w:r w:rsidR="00C417BA">
        <w:t>Procurement</w:t>
      </w:r>
      <w:r w:rsidR="00F853BC">
        <w:t xml:space="preserve"> </w:t>
      </w:r>
    </w:p>
    <w:p w14:paraId="5C9A98B0" w14:textId="359F6AEB" w:rsidR="0075366E" w:rsidRDefault="00A32DA9" w:rsidP="009108D7">
      <w:r>
        <w:t xml:space="preserve">More complex requirements and </w:t>
      </w:r>
      <w:r w:rsidR="00C63E5E">
        <w:t>supply markets require more time in planning, the period that the tender is out to market, the period for evaluation of tender submissions and any negotiations, the time for consideration and approval of award recommendations, and mobilisation</w:t>
      </w:r>
      <w:r w:rsidR="007054CA">
        <w:t>.</w:t>
      </w:r>
    </w:p>
    <w:p w14:paraId="4C7CF0DE" w14:textId="56634175" w:rsidR="00C63E5E" w:rsidRDefault="00C63E5E" w:rsidP="009108D7">
      <w:r>
        <w:lastRenderedPageBreak/>
        <w:t>The t</w:t>
      </w:r>
      <w:r w:rsidR="00E90E3C">
        <w:t>ypical t</w:t>
      </w:r>
      <w:r>
        <w:t xml:space="preserve">imelines for these for projects of different complexity are shown in Appendix 1. The typical overall elapsed time from the time of completion of the Contract Initiation </w:t>
      </w:r>
      <w:r w:rsidR="00362370">
        <w:t>F</w:t>
      </w:r>
      <w:r>
        <w:t>orm to supplier mobilisation, are summarised in the table below.</w:t>
      </w:r>
    </w:p>
    <w:tbl>
      <w:tblPr>
        <w:tblStyle w:val="TableGrid"/>
        <w:tblW w:w="0" w:type="auto"/>
        <w:tblLook w:val="04A0" w:firstRow="1" w:lastRow="0" w:firstColumn="1" w:lastColumn="0" w:noHBand="0" w:noVBand="1"/>
      </w:tblPr>
      <w:tblGrid>
        <w:gridCol w:w="4815"/>
        <w:gridCol w:w="4189"/>
        <w:gridCol w:w="4504"/>
      </w:tblGrid>
      <w:tr w:rsidR="00A32DA9" w14:paraId="35C97A0F" w14:textId="77777777" w:rsidTr="0073113D">
        <w:trPr>
          <w:trHeight w:val="487"/>
        </w:trPr>
        <w:tc>
          <w:tcPr>
            <w:tcW w:w="4815" w:type="dxa"/>
            <w:shd w:val="clear" w:color="auto" w:fill="F2F2F2" w:themeFill="background1" w:themeFillShade="F2"/>
          </w:tcPr>
          <w:p w14:paraId="4E8B044E" w14:textId="4BC5B52D" w:rsidR="00A32DA9" w:rsidRPr="00C63E5E" w:rsidRDefault="00C63E5E" w:rsidP="00C63E5E">
            <w:pPr>
              <w:spacing w:after="0"/>
              <w:rPr>
                <w:b/>
                <w:bCs/>
              </w:rPr>
            </w:pPr>
            <w:r w:rsidRPr="00C63E5E">
              <w:rPr>
                <w:b/>
                <w:bCs/>
              </w:rPr>
              <w:t>Project and Supply Market Complexity</w:t>
            </w:r>
          </w:p>
        </w:tc>
        <w:tc>
          <w:tcPr>
            <w:tcW w:w="4189" w:type="dxa"/>
            <w:shd w:val="clear" w:color="auto" w:fill="F2F2F2" w:themeFill="background1" w:themeFillShade="F2"/>
          </w:tcPr>
          <w:p w14:paraId="46310F69" w14:textId="6F7B2EAF" w:rsidR="00A32DA9" w:rsidRPr="00C63E5E" w:rsidRDefault="00C63E5E" w:rsidP="00C63E5E">
            <w:pPr>
              <w:spacing w:after="0"/>
              <w:jc w:val="center"/>
              <w:rPr>
                <w:b/>
                <w:bCs/>
              </w:rPr>
            </w:pPr>
            <w:r w:rsidRPr="00C63E5E">
              <w:rPr>
                <w:b/>
                <w:bCs/>
              </w:rPr>
              <w:t>Out-to-Market Time</w:t>
            </w:r>
          </w:p>
        </w:tc>
        <w:tc>
          <w:tcPr>
            <w:tcW w:w="4504" w:type="dxa"/>
            <w:shd w:val="clear" w:color="auto" w:fill="F2F2F2" w:themeFill="background1" w:themeFillShade="F2"/>
          </w:tcPr>
          <w:p w14:paraId="6328F846" w14:textId="6F926C77" w:rsidR="00A32DA9" w:rsidRPr="00C63E5E" w:rsidRDefault="00C63E5E" w:rsidP="00C63E5E">
            <w:pPr>
              <w:spacing w:after="0"/>
              <w:jc w:val="center"/>
              <w:rPr>
                <w:b/>
                <w:bCs/>
              </w:rPr>
            </w:pPr>
            <w:r w:rsidRPr="00C63E5E">
              <w:rPr>
                <w:b/>
                <w:bCs/>
              </w:rPr>
              <w:t>Typical Overall Elapsed Time</w:t>
            </w:r>
          </w:p>
        </w:tc>
      </w:tr>
      <w:tr w:rsidR="00A32DA9" w14:paraId="53260E2A" w14:textId="77777777" w:rsidTr="00052845">
        <w:trPr>
          <w:trHeight w:val="321"/>
        </w:trPr>
        <w:tc>
          <w:tcPr>
            <w:tcW w:w="4815" w:type="dxa"/>
          </w:tcPr>
          <w:p w14:paraId="0D5C691E" w14:textId="7B515409" w:rsidR="00A32DA9" w:rsidRPr="00362370" w:rsidRDefault="00C63E5E" w:rsidP="00C63E5E">
            <w:pPr>
              <w:spacing w:after="0"/>
              <w:rPr>
                <w:b/>
                <w:bCs/>
              </w:rPr>
            </w:pPr>
            <w:r w:rsidRPr="00362370">
              <w:rPr>
                <w:b/>
                <w:bCs/>
              </w:rPr>
              <w:t>Low</w:t>
            </w:r>
          </w:p>
        </w:tc>
        <w:tc>
          <w:tcPr>
            <w:tcW w:w="4189" w:type="dxa"/>
          </w:tcPr>
          <w:p w14:paraId="2D396B4E" w14:textId="13918CFF" w:rsidR="00A32DA9" w:rsidRDefault="00C63E5E" w:rsidP="00C63E5E">
            <w:pPr>
              <w:spacing w:after="0"/>
              <w:jc w:val="center"/>
            </w:pPr>
            <w:r>
              <w:t>3 weeks</w:t>
            </w:r>
          </w:p>
        </w:tc>
        <w:tc>
          <w:tcPr>
            <w:tcW w:w="4504" w:type="dxa"/>
          </w:tcPr>
          <w:p w14:paraId="0ED66D26" w14:textId="182A8891" w:rsidR="00A32DA9" w:rsidRDefault="00C63E5E" w:rsidP="00C63E5E">
            <w:pPr>
              <w:spacing w:after="0"/>
              <w:jc w:val="center"/>
            </w:pPr>
            <w:r>
              <w:t>3 months</w:t>
            </w:r>
          </w:p>
        </w:tc>
      </w:tr>
      <w:tr w:rsidR="00A32DA9" w14:paraId="75DD1993" w14:textId="77777777" w:rsidTr="00052845">
        <w:trPr>
          <w:trHeight w:val="321"/>
        </w:trPr>
        <w:tc>
          <w:tcPr>
            <w:tcW w:w="4815" w:type="dxa"/>
          </w:tcPr>
          <w:p w14:paraId="75FA4668" w14:textId="7B0500CD" w:rsidR="00A32DA9" w:rsidRPr="00362370" w:rsidRDefault="00C63E5E" w:rsidP="00C63E5E">
            <w:pPr>
              <w:spacing w:after="0"/>
              <w:rPr>
                <w:b/>
                <w:bCs/>
              </w:rPr>
            </w:pPr>
            <w:r w:rsidRPr="00362370">
              <w:rPr>
                <w:b/>
                <w:bCs/>
              </w:rPr>
              <w:t>Medium</w:t>
            </w:r>
            <w:r w:rsidR="00052845">
              <w:rPr>
                <w:b/>
                <w:bCs/>
              </w:rPr>
              <w:t xml:space="preserve"> - Procurement Plan &amp; VFM</w:t>
            </w:r>
          </w:p>
        </w:tc>
        <w:tc>
          <w:tcPr>
            <w:tcW w:w="4189" w:type="dxa"/>
          </w:tcPr>
          <w:p w14:paraId="1D6C0C3A" w14:textId="65AE39A5" w:rsidR="00A32DA9" w:rsidRDefault="00C63E5E" w:rsidP="00C63E5E">
            <w:pPr>
              <w:spacing w:after="0"/>
              <w:jc w:val="center"/>
            </w:pPr>
            <w:r>
              <w:t>4 weeks</w:t>
            </w:r>
          </w:p>
        </w:tc>
        <w:tc>
          <w:tcPr>
            <w:tcW w:w="4504" w:type="dxa"/>
          </w:tcPr>
          <w:p w14:paraId="551DDE11" w14:textId="531937C3" w:rsidR="00A32DA9" w:rsidRDefault="00C63E5E" w:rsidP="00C63E5E">
            <w:pPr>
              <w:spacing w:after="0"/>
              <w:jc w:val="center"/>
            </w:pPr>
            <w:r>
              <w:t>4 months</w:t>
            </w:r>
          </w:p>
        </w:tc>
      </w:tr>
      <w:tr w:rsidR="00A32DA9" w14:paraId="4A1F69A4" w14:textId="77777777" w:rsidTr="00052845">
        <w:trPr>
          <w:trHeight w:val="306"/>
        </w:trPr>
        <w:tc>
          <w:tcPr>
            <w:tcW w:w="4815" w:type="dxa"/>
          </w:tcPr>
          <w:p w14:paraId="3E2B0FB8" w14:textId="52614551" w:rsidR="00A32DA9" w:rsidRPr="00362370" w:rsidRDefault="00C63E5E" w:rsidP="00C63E5E">
            <w:pPr>
              <w:spacing w:after="0"/>
              <w:rPr>
                <w:b/>
                <w:bCs/>
              </w:rPr>
            </w:pPr>
            <w:r w:rsidRPr="00362370">
              <w:rPr>
                <w:b/>
                <w:bCs/>
              </w:rPr>
              <w:t>High</w:t>
            </w:r>
            <w:r w:rsidR="00CB7DC2">
              <w:rPr>
                <w:b/>
                <w:bCs/>
              </w:rPr>
              <w:t xml:space="preserve"> (Value)</w:t>
            </w:r>
            <w:r w:rsidR="00052845">
              <w:rPr>
                <w:b/>
                <w:bCs/>
              </w:rPr>
              <w:t xml:space="preserve"> Procurement Plan &amp; VFM</w:t>
            </w:r>
          </w:p>
        </w:tc>
        <w:tc>
          <w:tcPr>
            <w:tcW w:w="4189" w:type="dxa"/>
          </w:tcPr>
          <w:p w14:paraId="1506CE4D" w14:textId="4081A306" w:rsidR="00A32DA9" w:rsidRDefault="00C63E5E" w:rsidP="00C63E5E">
            <w:pPr>
              <w:spacing w:after="0"/>
              <w:jc w:val="center"/>
            </w:pPr>
            <w:r>
              <w:t>6 weeks</w:t>
            </w:r>
          </w:p>
        </w:tc>
        <w:tc>
          <w:tcPr>
            <w:tcW w:w="4504" w:type="dxa"/>
          </w:tcPr>
          <w:p w14:paraId="41252C40" w14:textId="1BFD76AF" w:rsidR="00A32DA9" w:rsidRDefault="00C63E5E" w:rsidP="00C63E5E">
            <w:pPr>
              <w:spacing w:after="0"/>
              <w:jc w:val="center"/>
            </w:pPr>
            <w:r>
              <w:t>5 months</w:t>
            </w:r>
          </w:p>
        </w:tc>
      </w:tr>
      <w:tr w:rsidR="00A32DA9" w14:paraId="6E59EC80" w14:textId="77777777" w:rsidTr="00052845">
        <w:trPr>
          <w:trHeight w:val="306"/>
        </w:trPr>
        <w:tc>
          <w:tcPr>
            <w:tcW w:w="4815" w:type="dxa"/>
          </w:tcPr>
          <w:p w14:paraId="3224A2FA" w14:textId="214E40C9" w:rsidR="00A32DA9" w:rsidRPr="00362370" w:rsidRDefault="00C63E5E" w:rsidP="00C63E5E">
            <w:pPr>
              <w:spacing w:after="0"/>
              <w:rPr>
                <w:b/>
                <w:bCs/>
              </w:rPr>
            </w:pPr>
            <w:r w:rsidRPr="00362370">
              <w:rPr>
                <w:b/>
                <w:bCs/>
              </w:rPr>
              <w:t>Very High</w:t>
            </w:r>
            <w:r w:rsidR="00CB7DC2">
              <w:rPr>
                <w:b/>
                <w:bCs/>
              </w:rPr>
              <w:t xml:space="preserve"> (Value)</w:t>
            </w:r>
            <w:r w:rsidR="00052845">
              <w:rPr>
                <w:b/>
                <w:bCs/>
              </w:rPr>
              <w:t xml:space="preserve"> Procurement Plan &amp; VFM</w:t>
            </w:r>
          </w:p>
        </w:tc>
        <w:tc>
          <w:tcPr>
            <w:tcW w:w="4189" w:type="dxa"/>
          </w:tcPr>
          <w:p w14:paraId="428D27F6" w14:textId="64ED90E9" w:rsidR="00A32DA9" w:rsidRDefault="00C63E5E" w:rsidP="00C63E5E">
            <w:pPr>
              <w:spacing w:after="0"/>
              <w:jc w:val="center"/>
            </w:pPr>
            <w:r>
              <w:t>8 weeks</w:t>
            </w:r>
          </w:p>
        </w:tc>
        <w:tc>
          <w:tcPr>
            <w:tcW w:w="4504" w:type="dxa"/>
          </w:tcPr>
          <w:p w14:paraId="3C42EBB9" w14:textId="54861F8A" w:rsidR="00A32DA9" w:rsidRDefault="00C63E5E" w:rsidP="00C63E5E">
            <w:pPr>
              <w:spacing w:after="0"/>
              <w:jc w:val="center"/>
            </w:pPr>
            <w:r>
              <w:t>10+ months</w:t>
            </w:r>
          </w:p>
        </w:tc>
      </w:tr>
    </w:tbl>
    <w:p w14:paraId="6B7E3540" w14:textId="77777777" w:rsidR="00CB7DC2" w:rsidRDefault="00CB7DC2" w:rsidP="009108D7"/>
    <w:tbl>
      <w:tblPr>
        <w:tblW w:w="5000" w:type="pct"/>
        <w:tblLayout w:type="fixed"/>
        <w:tblCellMar>
          <w:left w:w="0" w:type="dxa"/>
          <w:right w:w="0" w:type="dxa"/>
        </w:tblCellMar>
        <w:tblLook w:val="04A0" w:firstRow="1" w:lastRow="0" w:firstColumn="1" w:lastColumn="0" w:noHBand="0" w:noVBand="1"/>
      </w:tblPr>
      <w:tblGrid>
        <w:gridCol w:w="6975"/>
        <w:gridCol w:w="6975"/>
      </w:tblGrid>
      <w:tr w:rsidR="006B4ACC" w:rsidRPr="00586FC2" w14:paraId="4A3241C8" w14:textId="457A5EA2" w:rsidTr="006B4ACC">
        <w:trPr>
          <w:trHeight w:val="338"/>
        </w:trPr>
        <w:tc>
          <w:tcPr>
            <w:tcW w:w="2500" w:type="pct"/>
            <w:tcBorders>
              <w:top w:val="single" w:sz="8" w:space="0" w:color="000000"/>
              <w:left w:val="single" w:sz="8" w:space="0" w:color="000000"/>
              <w:bottom w:val="single" w:sz="8" w:space="0" w:color="000000"/>
              <w:right w:val="nil"/>
            </w:tcBorders>
            <w:shd w:val="clear" w:color="auto" w:fill="000000"/>
            <w:tcMar>
              <w:top w:w="0" w:type="dxa"/>
              <w:left w:w="108" w:type="dxa"/>
              <w:bottom w:w="0" w:type="dxa"/>
              <w:right w:w="108" w:type="dxa"/>
            </w:tcMar>
            <w:hideMark/>
          </w:tcPr>
          <w:p w14:paraId="2A10F105" w14:textId="473043D3" w:rsidR="006B4ACC" w:rsidRPr="00586FC2" w:rsidRDefault="006B4ACC" w:rsidP="00586FC2">
            <w:pPr>
              <w:rPr>
                <w:b/>
                <w:bCs/>
                <w:color w:val="FFFFFF" w:themeColor="background1"/>
                <w:lang w:val="en-AU"/>
              </w:rPr>
            </w:pPr>
            <w:r w:rsidRPr="00586FC2">
              <w:rPr>
                <w:b/>
                <w:bCs/>
                <w:lang w:val="en-AU"/>
              </w:rPr>
              <w:t>Task</w:t>
            </w:r>
            <w:r>
              <w:rPr>
                <w:b/>
                <w:bCs/>
                <w:color w:val="FFFFFF" w:themeColor="background1"/>
                <w:lang w:val="en-AU"/>
              </w:rPr>
              <w:t xml:space="preserve"> Example of Medium - 4 week / 4 months</w:t>
            </w:r>
          </w:p>
        </w:tc>
        <w:tc>
          <w:tcPr>
            <w:tcW w:w="2500" w:type="pct"/>
            <w:tcBorders>
              <w:top w:val="single" w:sz="8" w:space="0" w:color="000000"/>
              <w:left w:val="single" w:sz="8" w:space="0" w:color="000000"/>
              <w:bottom w:val="single" w:sz="8" w:space="0" w:color="000000"/>
              <w:right w:val="nil"/>
            </w:tcBorders>
            <w:shd w:val="clear" w:color="auto" w:fill="000000"/>
          </w:tcPr>
          <w:p w14:paraId="028D55E8" w14:textId="77777777" w:rsidR="006B4ACC" w:rsidRPr="00586FC2" w:rsidRDefault="006B4ACC" w:rsidP="00586FC2">
            <w:pPr>
              <w:rPr>
                <w:b/>
                <w:bCs/>
                <w:lang w:val="en-AU"/>
              </w:rPr>
            </w:pPr>
          </w:p>
        </w:tc>
      </w:tr>
      <w:tr w:rsidR="00AF36DA" w:rsidRPr="00586FC2" w14:paraId="2A4B8CA3" w14:textId="6F909537" w:rsidTr="00CE5C60">
        <w:tc>
          <w:tcPr>
            <w:tcW w:w="2500" w:type="pct"/>
            <w:tcBorders>
              <w:top w:val="nil"/>
              <w:left w:val="single" w:sz="8" w:space="0" w:color="666666"/>
              <w:bottom w:val="single" w:sz="8" w:space="0" w:color="666666"/>
              <w:right w:val="nil"/>
            </w:tcBorders>
            <w:shd w:val="clear" w:color="auto" w:fill="CCCCCC"/>
            <w:tcMar>
              <w:top w:w="0" w:type="dxa"/>
              <w:left w:w="108" w:type="dxa"/>
              <w:bottom w:w="0" w:type="dxa"/>
              <w:right w:w="108" w:type="dxa"/>
            </w:tcMar>
          </w:tcPr>
          <w:p w14:paraId="26C72A17" w14:textId="4D43C8DD" w:rsidR="00AF36DA" w:rsidRDefault="00AF36DA" w:rsidP="00446072">
            <w:pPr>
              <w:spacing w:after="0"/>
              <w:rPr>
                <w:b/>
                <w:bCs/>
                <w:lang w:val="en-AU"/>
              </w:rPr>
            </w:pPr>
            <w:r>
              <w:rPr>
                <w:b/>
                <w:bCs/>
                <w:lang w:val="en-AU"/>
              </w:rPr>
              <w:t xml:space="preserve">Forward planning, resourcing and capability                                                                  </w:t>
            </w:r>
          </w:p>
        </w:tc>
        <w:tc>
          <w:tcPr>
            <w:tcW w:w="2500" w:type="pct"/>
            <w:vMerge w:val="restart"/>
            <w:tcBorders>
              <w:top w:val="nil"/>
              <w:left w:val="single" w:sz="8" w:space="0" w:color="666666"/>
              <w:right w:val="nil"/>
            </w:tcBorders>
            <w:shd w:val="clear" w:color="auto" w:fill="CCCCCC"/>
          </w:tcPr>
          <w:p w14:paraId="5AF846E4" w14:textId="7829602C" w:rsidR="00AF36DA" w:rsidRPr="00446072" w:rsidRDefault="00AF36DA" w:rsidP="00446072">
            <w:pPr>
              <w:spacing w:after="0"/>
              <w:rPr>
                <w:u w:val="single"/>
                <w:lang w:val="en-AU"/>
              </w:rPr>
            </w:pPr>
            <w:r w:rsidRPr="00446072">
              <w:rPr>
                <w:u w:val="single"/>
                <w:lang w:val="en-AU"/>
              </w:rPr>
              <w:t>2 Months</w:t>
            </w:r>
            <w:r w:rsidR="00446072" w:rsidRPr="00446072">
              <w:rPr>
                <w:u w:val="single"/>
                <w:lang w:val="en-AU"/>
              </w:rPr>
              <w:t xml:space="preserve"> - Minimum</w:t>
            </w:r>
          </w:p>
          <w:p w14:paraId="18B94E67" w14:textId="5CBA2B38" w:rsidR="008C2D7A" w:rsidRPr="00446072" w:rsidRDefault="00BC3DF7" w:rsidP="00446072">
            <w:pPr>
              <w:spacing w:after="0"/>
              <w:rPr>
                <w:lang w:val="en-AU"/>
              </w:rPr>
            </w:pPr>
            <w:r w:rsidRPr="00446072">
              <w:rPr>
                <w:lang w:val="en-AU"/>
              </w:rPr>
              <w:t>Planned resources - Customised Procurement plans for your business unit and Value for Money</w:t>
            </w:r>
            <w:r w:rsidR="00F853BC" w:rsidRPr="00446072">
              <w:rPr>
                <w:lang w:val="en-AU"/>
              </w:rPr>
              <w:t xml:space="preserve"> (VFM)</w:t>
            </w:r>
            <w:r w:rsidRPr="00446072">
              <w:rPr>
                <w:lang w:val="en-AU"/>
              </w:rPr>
              <w:t xml:space="preserve"> assessments to meet future requirements on our Procurement Steering </w:t>
            </w:r>
            <w:r w:rsidR="00F853BC" w:rsidRPr="00446072">
              <w:rPr>
                <w:lang w:val="en-AU"/>
              </w:rPr>
              <w:t>C</w:t>
            </w:r>
            <w:r w:rsidRPr="00446072">
              <w:rPr>
                <w:lang w:val="en-AU"/>
              </w:rPr>
              <w:t>ommittee</w:t>
            </w:r>
            <w:r w:rsidR="00F853BC" w:rsidRPr="00446072">
              <w:rPr>
                <w:lang w:val="en-AU"/>
              </w:rPr>
              <w:t xml:space="preserve"> - P</w:t>
            </w:r>
            <w:r w:rsidR="00446072">
              <w:rPr>
                <w:lang w:val="en-AU"/>
              </w:rPr>
              <w:t>SC</w:t>
            </w:r>
          </w:p>
        </w:tc>
      </w:tr>
      <w:tr w:rsidR="00AF36DA" w:rsidRPr="00586FC2" w14:paraId="3313A996" w14:textId="57660BFD" w:rsidTr="00CE5C60">
        <w:trPr>
          <w:trHeight w:val="338"/>
        </w:trPr>
        <w:tc>
          <w:tcPr>
            <w:tcW w:w="2500" w:type="pct"/>
            <w:tcBorders>
              <w:top w:val="nil"/>
              <w:left w:val="single" w:sz="8" w:space="0" w:color="666666"/>
              <w:bottom w:val="single" w:sz="8" w:space="0" w:color="666666"/>
              <w:right w:val="nil"/>
            </w:tcBorders>
            <w:shd w:val="clear" w:color="auto" w:fill="CCCCCC"/>
            <w:tcMar>
              <w:top w:w="0" w:type="dxa"/>
              <w:left w:w="108" w:type="dxa"/>
              <w:bottom w:w="0" w:type="dxa"/>
              <w:right w:w="108" w:type="dxa"/>
            </w:tcMar>
          </w:tcPr>
          <w:p w14:paraId="200F52BB" w14:textId="64F84825" w:rsidR="00AF36DA" w:rsidRDefault="00AF36DA" w:rsidP="00446072">
            <w:pPr>
              <w:spacing w:after="0"/>
              <w:rPr>
                <w:b/>
                <w:bCs/>
                <w:lang w:val="en-AU"/>
              </w:rPr>
            </w:pPr>
            <w:r>
              <w:rPr>
                <w:b/>
                <w:bCs/>
                <w:lang w:val="en-AU"/>
              </w:rPr>
              <w:t>Procurement Plan</w:t>
            </w:r>
            <w:r w:rsidR="00F853BC">
              <w:rPr>
                <w:b/>
                <w:bCs/>
                <w:lang w:val="en-AU"/>
              </w:rPr>
              <w:t xml:space="preserve"> - </w:t>
            </w:r>
            <w:r>
              <w:rPr>
                <w:b/>
                <w:bCs/>
                <w:lang w:val="en-AU"/>
              </w:rPr>
              <w:t>VFM</w:t>
            </w:r>
            <w:r w:rsidR="00F853BC">
              <w:rPr>
                <w:b/>
                <w:bCs/>
                <w:lang w:val="en-AU"/>
              </w:rPr>
              <w:t>/PSC</w:t>
            </w:r>
            <w:r>
              <w:rPr>
                <w:b/>
                <w:bCs/>
                <w:lang w:val="en-AU"/>
              </w:rPr>
              <w:t xml:space="preserve"> requirements</w:t>
            </w:r>
          </w:p>
        </w:tc>
        <w:tc>
          <w:tcPr>
            <w:tcW w:w="2500" w:type="pct"/>
            <w:vMerge/>
            <w:tcBorders>
              <w:left w:val="single" w:sz="8" w:space="0" w:color="666666"/>
              <w:right w:val="nil"/>
            </w:tcBorders>
            <w:shd w:val="clear" w:color="auto" w:fill="CCCCCC"/>
          </w:tcPr>
          <w:p w14:paraId="00E6CA9F" w14:textId="77777777" w:rsidR="00AF36DA" w:rsidRPr="00446072" w:rsidRDefault="00AF36DA" w:rsidP="00446072">
            <w:pPr>
              <w:spacing w:after="0"/>
              <w:rPr>
                <w:lang w:val="en-AU"/>
              </w:rPr>
            </w:pPr>
          </w:p>
        </w:tc>
      </w:tr>
      <w:tr w:rsidR="00AF36DA" w:rsidRPr="00586FC2" w14:paraId="27C26A2A" w14:textId="0161FA25" w:rsidTr="00CE5C60">
        <w:tc>
          <w:tcPr>
            <w:tcW w:w="2500" w:type="pct"/>
            <w:tcBorders>
              <w:top w:val="nil"/>
              <w:left w:val="single" w:sz="8" w:space="0" w:color="666666"/>
              <w:bottom w:val="single" w:sz="8" w:space="0" w:color="666666"/>
              <w:right w:val="nil"/>
            </w:tcBorders>
            <w:shd w:val="clear" w:color="auto" w:fill="CCCCCC"/>
            <w:tcMar>
              <w:top w:w="0" w:type="dxa"/>
              <w:left w:w="108" w:type="dxa"/>
              <w:bottom w:w="0" w:type="dxa"/>
              <w:right w:w="108" w:type="dxa"/>
            </w:tcMar>
          </w:tcPr>
          <w:p w14:paraId="3846F7B0" w14:textId="7FB0175C" w:rsidR="00AF36DA" w:rsidRPr="00586FC2" w:rsidRDefault="00AF36DA" w:rsidP="00446072">
            <w:pPr>
              <w:spacing w:after="0"/>
              <w:rPr>
                <w:b/>
                <w:bCs/>
                <w:lang w:val="en-AU"/>
              </w:rPr>
            </w:pPr>
            <w:r>
              <w:rPr>
                <w:b/>
                <w:bCs/>
                <w:lang w:val="en-AU"/>
              </w:rPr>
              <w:t>Contract initiation and discussion with Procurement</w:t>
            </w:r>
          </w:p>
        </w:tc>
        <w:tc>
          <w:tcPr>
            <w:tcW w:w="2500" w:type="pct"/>
            <w:vMerge/>
            <w:tcBorders>
              <w:left w:val="single" w:sz="8" w:space="0" w:color="666666"/>
              <w:bottom w:val="single" w:sz="8" w:space="0" w:color="666666"/>
              <w:right w:val="nil"/>
            </w:tcBorders>
            <w:shd w:val="clear" w:color="auto" w:fill="CCCCCC"/>
          </w:tcPr>
          <w:p w14:paraId="26C61F58" w14:textId="77777777" w:rsidR="00AF36DA" w:rsidRPr="00446072" w:rsidRDefault="00AF36DA" w:rsidP="00446072">
            <w:pPr>
              <w:spacing w:after="0"/>
              <w:rPr>
                <w:lang w:val="en-AU"/>
              </w:rPr>
            </w:pPr>
          </w:p>
        </w:tc>
      </w:tr>
      <w:tr w:rsidR="006B4ACC" w:rsidRPr="00586FC2" w14:paraId="708354B5" w14:textId="078FB360" w:rsidTr="006B4ACC">
        <w:tc>
          <w:tcPr>
            <w:tcW w:w="2500" w:type="pct"/>
            <w:tcBorders>
              <w:top w:val="nil"/>
              <w:left w:val="single" w:sz="8" w:space="0" w:color="666666"/>
              <w:bottom w:val="single" w:sz="8" w:space="0" w:color="666666"/>
              <w:right w:val="nil"/>
            </w:tcBorders>
            <w:shd w:val="clear" w:color="auto" w:fill="CCCCCC"/>
            <w:tcMar>
              <w:top w:w="0" w:type="dxa"/>
              <w:left w:w="108" w:type="dxa"/>
              <w:bottom w:w="0" w:type="dxa"/>
              <w:right w:w="108" w:type="dxa"/>
            </w:tcMar>
            <w:hideMark/>
          </w:tcPr>
          <w:p w14:paraId="0512829B" w14:textId="77777777" w:rsidR="006B4ACC" w:rsidRPr="00586FC2" w:rsidRDefault="006B4ACC" w:rsidP="00446072">
            <w:pPr>
              <w:spacing w:after="0"/>
              <w:rPr>
                <w:b/>
                <w:bCs/>
                <w:lang w:val="en-AU"/>
              </w:rPr>
            </w:pPr>
            <w:r w:rsidRPr="00586FC2">
              <w:rPr>
                <w:b/>
                <w:bCs/>
                <w:lang w:val="en-AU"/>
              </w:rPr>
              <w:t xml:space="preserve">Specification to Procurement for review                </w:t>
            </w:r>
          </w:p>
        </w:tc>
        <w:tc>
          <w:tcPr>
            <w:tcW w:w="2500" w:type="pct"/>
            <w:tcBorders>
              <w:top w:val="nil"/>
              <w:left w:val="single" w:sz="8" w:space="0" w:color="666666"/>
              <w:bottom w:val="single" w:sz="8" w:space="0" w:color="666666"/>
              <w:right w:val="nil"/>
            </w:tcBorders>
            <w:shd w:val="clear" w:color="auto" w:fill="CCCCCC"/>
          </w:tcPr>
          <w:p w14:paraId="2EE11C4E" w14:textId="492B075C" w:rsidR="006B4ACC" w:rsidRPr="00446072" w:rsidRDefault="00AF36DA" w:rsidP="00446072">
            <w:pPr>
              <w:spacing w:after="0"/>
              <w:rPr>
                <w:lang w:val="en-AU"/>
              </w:rPr>
            </w:pPr>
            <w:r w:rsidRPr="00446072">
              <w:rPr>
                <w:lang w:val="en-AU"/>
              </w:rPr>
              <w:t>A lot of time is wasted here with rushed specifications - This is part of the first 2 months of the process</w:t>
            </w:r>
            <w:r w:rsidR="007B6411">
              <w:rPr>
                <w:lang w:val="en-AU"/>
              </w:rPr>
              <w:t xml:space="preserve"> that has multiple amendments</w:t>
            </w:r>
          </w:p>
        </w:tc>
      </w:tr>
      <w:tr w:rsidR="006B4ACC" w:rsidRPr="00586FC2" w14:paraId="3E7FF6AB" w14:textId="5A82BB85" w:rsidTr="006B4ACC">
        <w:tc>
          <w:tcPr>
            <w:tcW w:w="2500" w:type="pct"/>
            <w:tcBorders>
              <w:top w:val="nil"/>
              <w:left w:val="single" w:sz="8" w:space="0" w:color="666666"/>
              <w:bottom w:val="single" w:sz="8" w:space="0" w:color="666666"/>
              <w:right w:val="nil"/>
            </w:tcBorders>
            <w:tcMar>
              <w:top w:w="0" w:type="dxa"/>
              <w:left w:w="108" w:type="dxa"/>
              <w:bottom w:w="0" w:type="dxa"/>
              <w:right w:w="108" w:type="dxa"/>
            </w:tcMar>
            <w:hideMark/>
          </w:tcPr>
          <w:p w14:paraId="795584C8" w14:textId="77777777" w:rsidR="006B4ACC" w:rsidRPr="00586FC2" w:rsidRDefault="006B4ACC" w:rsidP="00446072">
            <w:pPr>
              <w:spacing w:after="0"/>
              <w:rPr>
                <w:b/>
                <w:bCs/>
                <w:lang w:val="en-AU"/>
              </w:rPr>
            </w:pPr>
            <w:r w:rsidRPr="00586FC2">
              <w:rPr>
                <w:b/>
                <w:bCs/>
                <w:lang w:val="en-AU"/>
              </w:rPr>
              <w:t>Tender to go out                                                 </w:t>
            </w:r>
          </w:p>
        </w:tc>
        <w:tc>
          <w:tcPr>
            <w:tcW w:w="2500" w:type="pct"/>
            <w:tcBorders>
              <w:top w:val="nil"/>
              <w:left w:val="single" w:sz="8" w:space="0" w:color="666666"/>
              <w:bottom w:val="single" w:sz="8" w:space="0" w:color="666666"/>
              <w:right w:val="nil"/>
            </w:tcBorders>
          </w:tcPr>
          <w:p w14:paraId="6460B428" w14:textId="0DA241AD" w:rsidR="006B4ACC" w:rsidRPr="00446072" w:rsidRDefault="00AF36DA" w:rsidP="00446072">
            <w:pPr>
              <w:spacing w:after="0"/>
              <w:rPr>
                <w:lang w:val="en-AU"/>
              </w:rPr>
            </w:pPr>
            <w:r w:rsidRPr="00446072">
              <w:rPr>
                <w:lang w:val="en-AU"/>
              </w:rPr>
              <w:t xml:space="preserve">  4 weeks recommended as a minimum, 6 is best practice</w:t>
            </w:r>
          </w:p>
        </w:tc>
      </w:tr>
      <w:tr w:rsidR="00AF36DA" w:rsidRPr="00586FC2" w14:paraId="1F531951" w14:textId="2D338759" w:rsidTr="00286FB8">
        <w:tc>
          <w:tcPr>
            <w:tcW w:w="2500" w:type="pct"/>
            <w:tcBorders>
              <w:top w:val="nil"/>
              <w:left w:val="single" w:sz="8" w:space="0" w:color="666666"/>
              <w:bottom w:val="single" w:sz="8" w:space="0" w:color="666666"/>
              <w:right w:val="nil"/>
            </w:tcBorders>
            <w:shd w:val="clear" w:color="auto" w:fill="CCCCCC"/>
            <w:tcMar>
              <w:top w:w="0" w:type="dxa"/>
              <w:left w:w="108" w:type="dxa"/>
              <w:bottom w:w="0" w:type="dxa"/>
              <w:right w:w="108" w:type="dxa"/>
            </w:tcMar>
            <w:hideMark/>
          </w:tcPr>
          <w:p w14:paraId="4E26CCCC" w14:textId="77777777" w:rsidR="00AF36DA" w:rsidRPr="00586FC2" w:rsidRDefault="00AF36DA" w:rsidP="00446072">
            <w:pPr>
              <w:spacing w:after="0"/>
              <w:rPr>
                <w:b/>
                <w:bCs/>
                <w:lang w:val="en-AU"/>
              </w:rPr>
            </w:pPr>
            <w:r w:rsidRPr="00586FC2">
              <w:rPr>
                <w:b/>
                <w:bCs/>
                <w:lang w:val="en-AU"/>
              </w:rPr>
              <w:t>Tender submission received                                 </w:t>
            </w:r>
          </w:p>
        </w:tc>
        <w:tc>
          <w:tcPr>
            <w:tcW w:w="2500" w:type="pct"/>
            <w:vMerge w:val="restart"/>
            <w:tcBorders>
              <w:top w:val="nil"/>
              <w:left w:val="single" w:sz="8" w:space="0" w:color="666666"/>
              <w:right w:val="nil"/>
            </w:tcBorders>
            <w:shd w:val="clear" w:color="auto" w:fill="CCCCCC"/>
          </w:tcPr>
          <w:p w14:paraId="2CDC2777" w14:textId="4D924F62" w:rsidR="00AF36DA" w:rsidRPr="00446072" w:rsidRDefault="0057019C" w:rsidP="00446072">
            <w:pPr>
              <w:spacing w:after="0"/>
              <w:rPr>
                <w:lang w:val="en-AU"/>
              </w:rPr>
            </w:pPr>
            <w:r w:rsidRPr="00446072">
              <w:rPr>
                <w:lang w:val="en-AU"/>
              </w:rPr>
              <w:t>This process should also be forward planned for a 2 month total</w:t>
            </w:r>
            <w:r w:rsidR="007B6411">
              <w:rPr>
                <w:lang w:val="en-AU"/>
              </w:rPr>
              <w:t xml:space="preserve"> period in the (4 month example). Scoring and Recommendations need to occur across </w:t>
            </w:r>
            <w:r w:rsidR="00A15902">
              <w:rPr>
                <w:lang w:val="en-AU"/>
              </w:rPr>
              <w:t xml:space="preserve">several stakeholders and consensus scoring and clarifications take time. Negotiating your best and final offer and t's and c's. Acceptance can take 2- 4 weeks if legal </w:t>
            </w:r>
            <w:r w:rsidR="00C417BA">
              <w:rPr>
                <w:lang w:val="en-AU"/>
              </w:rPr>
              <w:t>amendments</w:t>
            </w:r>
            <w:r w:rsidR="00A15902">
              <w:rPr>
                <w:lang w:val="en-AU"/>
              </w:rPr>
              <w:t xml:space="preserve"> are needed</w:t>
            </w:r>
          </w:p>
        </w:tc>
      </w:tr>
      <w:tr w:rsidR="00AF36DA" w:rsidRPr="00586FC2" w14:paraId="59999AB0" w14:textId="36925E22" w:rsidTr="00286FB8">
        <w:tc>
          <w:tcPr>
            <w:tcW w:w="2500" w:type="pct"/>
            <w:tcBorders>
              <w:top w:val="nil"/>
              <w:left w:val="single" w:sz="8" w:space="0" w:color="666666"/>
              <w:bottom w:val="single" w:sz="8" w:space="0" w:color="666666"/>
              <w:right w:val="nil"/>
            </w:tcBorders>
            <w:tcMar>
              <w:top w:w="0" w:type="dxa"/>
              <w:left w:w="108" w:type="dxa"/>
              <w:bottom w:w="0" w:type="dxa"/>
              <w:right w:w="108" w:type="dxa"/>
            </w:tcMar>
            <w:hideMark/>
          </w:tcPr>
          <w:p w14:paraId="51FEF531" w14:textId="77777777" w:rsidR="00AF36DA" w:rsidRPr="00586FC2" w:rsidRDefault="00AF36DA" w:rsidP="00586FC2">
            <w:pPr>
              <w:rPr>
                <w:b/>
                <w:bCs/>
                <w:lang w:val="en-AU"/>
              </w:rPr>
            </w:pPr>
            <w:r w:rsidRPr="00586FC2">
              <w:rPr>
                <w:b/>
                <w:bCs/>
                <w:lang w:val="en-AU"/>
              </w:rPr>
              <w:t>Panel committee scoring &amp; recommendations       </w:t>
            </w:r>
          </w:p>
        </w:tc>
        <w:tc>
          <w:tcPr>
            <w:tcW w:w="2500" w:type="pct"/>
            <w:vMerge/>
            <w:tcBorders>
              <w:left w:val="single" w:sz="8" w:space="0" w:color="666666"/>
              <w:right w:val="nil"/>
            </w:tcBorders>
          </w:tcPr>
          <w:p w14:paraId="28320F93" w14:textId="77777777" w:rsidR="00AF36DA" w:rsidRPr="00586FC2" w:rsidRDefault="00AF36DA" w:rsidP="00586FC2">
            <w:pPr>
              <w:rPr>
                <w:b/>
                <w:bCs/>
                <w:lang w:val="en-AU"/>
              </w:rPr>
            </w:pPr>
          </w:p>
        </w:tc>
      </w:tr>
      <w:tr w:rsidR="00AF36DA" w:rsidRPr="00586FC2" w14:paraId="0B246656" w14:textId="0328F53E" w:rsidTr="00286FB8">
        <w:tc>
          <w:tcPr>
            <w:tcW w:w="2500" w:type="pct"/>
            <w:tcBorders>
              <w:top w:val="nil"/>
              <w:left w:val="single" w:sz="8" w:space="0" w:color="666666"/>
              <w:bottom w:val="single" w:sz="8" w:space="0" w:color="666666"/>
              <w:right w:val="nil"/>
            </w:tcBorders>
            <w:shd w:val="clear" w:color="auto" w:fill="CCCCCC"/>
            <w:tcMar>
              <w:top w:w="0" w:type="dxa"/>
              <w:left w:w="108" w:type="dxa"/>
              <w:bottom w:w="0" w:type="dxa"/>
              <w:right w:w="108" w:type="dxa"/>
            </w:tcMar>
            <w:hideMark/>
          </w:tcPr>
          <w:p w14:paraId="74D02841" w14:textId="10904545" w:rsidR="00AF36DA" w:rsidRPr="00586FC2" w:rsidRDefault="00AF36DA" w:rsidP="00586FC2">
            <w:pPr>
              <w:rPr>
                <w:b/>
                <w:bCs/>
                <w:lang w:val="en-AU"/>
              </w:rPr>
            </w:pPr>
            <w:r w:rsidRPr="00586FC2">
              <w:rPr>
                <w:b/>
                <w:bCs/>
                <w:lang w:val="en-AU"/>
              </w:rPr>
              <w:t>Report</w:t>
            </w:r>
            <w:r>
              <w:rPr>
                <w:b/>
                <w:bCs/>
                <w:lang w:val="en-AU"/>
              </w:rPr>
              <w:t xml:space="preserve">/Meetings </w:t>
            </w:r>
            <w:r w:rsidR="00277EC3">
              <w:rPr>
                <w:b/>
                <w:bCs/>
                <w:lang w:val="en-AU"/>
              </w:rPr>
              <w:t xml:space="preserve">- </w:t>
            </w:r>
            <w:r w:rsidRPr="00586FC2">
              <w:rPr>
                <w:b/>
                <w:bCs/>
                <w:lang w:val="en-AU"/>
              </w:rPr>
              <w:t>Director</w:t>
            </w:r>
            <w:r>
              <w:rPr>
                <w:b/>
                <w:bCs/>
                <w:lang w:val="en-AU"/>
              </w:rPr>
              <w:t>s/Executive</w:t>
            </w:r>
            <w:r w:rsidRPr="00586FC2">
              <w:rPr>
                <w:b/>
                <w:bCs/>
                <w:lang w:val="en-AU"/>
              </w:rPr>
              <w:t xml:space="preserve"> for approval  </w:t>
            </w:r>
            <w:r>
              <w:rPr>
                <w:b/>
                <w:bCs/>
                <w:lang w:val="en-AU"/>
              </w:rPr>
              <w:t>- Council approval</w:t>
            </w:r>
            <w:r w:rsidRPr="00586FC2">
              <w:rPr>
                <w:b/>
                <w:bCs/>
                <w:lang w:val="en-AU"/>
              </w:rPr>
              <w:t>   </w:t>
            </w:r>
            <w:r w:rsidR="0057019C">
              <w:rPr>
                <w:b/>
                <w:bCs/>
                <w:lang w:val="en-AU"/>
              </w:rPr>
              <w:t>- Contract Draft</w:t>
            </w:r>
            <w:r w:rsidR="00277EC3">
              <w:rPr>
                <w:b/>
                <w:bCs/>
                <w:lang w:val="en-AU"/>
              </w:rPr>
              <w:t xml:space="preserve"> - Negotiation - Acceptance</w:t>
            </w:r>
            <w:r w:rsidRPr="00586FC2">
              <w:rPr>
                <w:b/>
                <w:bCs/>
                <w:lang w:val="en-AU"/>
              </w:rPr>
              <w:t>         </w:t>
            </w:r>
          </w:p>
        </w:tc>
        <w:tc>
          <w:tcPr>
            <w:tcW w:w="2500" w:type="pct"/>
            <w:vMerge/>
            <w:tcBorders>
              <w:left w:val="single" w:sz="8" w:space="0" w:color="666666"/>
              <w:bottom w:val="single" w:sz="8" w:space="0" w:color="666666"/>
              <w:right w:val="nil"/>
            </w:tcBorders>
            <w:shd w:val="clear" w:color="auto" w:fill="CCCCCC"/>
          </w:tcPr>
          <w:p w14:paraId="55550644" w14:textId="77777777" w:rsidR="00AF36DA" w:rsidRPr="00586FC2" w:rsidRDefault="00AF36DA" w:rsidP="00586FC2">
            <w:pPr>
              <w:rPr>
                <w:b/>
                <w:bCs/>
                <w:lang w:val="en-AU"/>
              </w:rPr>
            </w:pPr>
          </w:p>
        </w:tc>
      </w:tr>
    </w:tbl>
    <w:p w14:paraId="79789B60" w14:textId="77777777" w:rsidR="00802573" w:rsidRDefault="00802573" w:rsidP="009108D7"/>
    <w:p w14:paraId="0CBF4331" w14:textId="77777777" w:rsidR="00A15902" w:rsidRDefault="00A15902" w:rsidP="009108D7"/>
    <w:p w14:paraId="7E6E2DBC" w14:textId="1E4F77AA" w:rsidR="00D70441" w:rsidRDefault="00D70441" w:rsidP="009108D7">
      <w:r>
        <w:lastRenderedPageBreak/>
        <w:t xml:space="preserve">Very high complexity projects are usually high value </w:t>
      </w:r>
      <w:r w:rsidR="00233CC9">
        <w:t xml:space="preserve">and risk </w:t>
      </w:r>
      <w:r>
        <w:t>procurements</w:t>
      </w:r>
      <w:r w:rsidR="00233CC9">
        <w:t>, often with complex sourcing strategies such as the use of a two-stage procurement approach (Expression of Interest followed by a Request for Tender issued to select suppliers) or establishment of a panel of suppliers across multiple service types.</w:t>
      </w:r>
      <w:r w:rsidR="00052845">
        <w:t xml:space="preserve"> These projects will now also require a Simple Procurement Plan and a Value for Money </w:t>
      </w:r>
      <w:r w:rsidR="00A15902">
        <w:t>Assessment</w:t>
      </w:r>
      <w:r w:rsidR="00052845">
        <w:t>.</w:t>
      </w:r>
    </w:p>
    <w:p w14:paraId="615C0AE5" w14:textId="603406D1" w:rsidR="00C63E5E" w:rsidRDefault="00C63E5E" w:rsidP="009108D7">
      <w:r>
        <w:t xml:space="preserve">The minimum recommended time for tenders to be out to market is </w:t>
      </w:r>
      <w:r w:rsidR="00CE5787">
        <w:t xml:space="preserve">4 </w:t>
      </w:r>
      <w:r>
        <w:t>weeks to enable time for suppliers to work on tender submissions and to ensure adequate and competitive responses.</w:t>
      </w:r>
      <w:r w:rsidR="00CE5787">
        <w:t xml:space="preserve"> We are at high risk of poor responses and poor branding </w:t>
      </w:r>
      <w:r w:rsidR="003074A7">
        <w:t>if this does not occur.</w:t>
      </w:r>
    </w:p>
    <w:p w14:paraId="41C7925E" w14:textId="1AE0EB90" w:rsidR="00A32DA9" w:rsidRDefault="00C63E5E" w:rsidP="009108D7">
      <w:r>
        <w:t xml:space="preserve">Note that the time from completion of evaluation to approval of award recommendations can often be 4 weeks or more due to the award being approved at multiple levels in the organisation and in </w:t>
      </w:r>
      <w:proofErr w:type="gramStart"/>
      <w:r>
        <w:t>some</w:t>
      </w:r>
      <w:proofErr w:type="gramEnd"/>
      <w:r>
        <w:t xml:space="preserve"> cases, having to be submitted </w:t>
      </w:r>
      <w:r w:rsidR="00E90E3C">
        <w:t>for</w:t>
      </w:r>
      <w:r>
        <w:t xml:space="preserve"> Council resolution.</w:t>
      </w:r>
    </w:p>
    <w:p w14:paraId="312984F4" w14:textId="478DF0D5" w:rsidR="002814B5" w:rsidRDefault="00C63E5E" w:rsidP="003F4A04">
      <w:pPr>
        <w:rPr>
          <w:noProof/>
        </w:rPr>
      </w:pPr>
      <w:r w:rsidRPr="00E90E3C">
        <w:rPr>
          <w:b/>
          <w:bCs/>
        </w:rPr>
        <w:t>Business areas should have conversations with Procurement about forthcoming tenders</w:t>
      </w:r>
      <w:r w:rsidR="00362370">
        <w:t xml:space="preserve"> in order that sufficient time is allowed in line with the above </w:t>
      </w:r>
      <w:r w:rsidR="005208F7">
        <w:t xml:space="preserve">timelines. </w:t>
      </w:r>
      <w:r w:rsidR="00327DF7">
        <w:t>Typical elapsed times for the end-to-end Request for Tender process are shown below for projects of differing levels of complexity.</w:t>
      </w:r>
      <w:r w:rsidR="005208F7" w:rsidRPr="005208F7">
        <w:rPr>
          <w:noProof/>
        </w:rPr>
        <w:t xml:space="preserve"> </w:t>
      </w:r>
      <w:r w:rsidR="008C2D7A">
        <w:rPr>
          <w:noProof/>
        </w:rPr>
        <w:t>You will need to attend all forward procurement planning</w:t>
      </w:r>
      <w:r w:rsidR="002814B5">
        <w:rPr>
          <w:noProof/>
        </w:rPr>
        <w:t xml:space="preserve"> to be able to plan and prioritise your work. Otherwise there will be no guarantees your work can be completed on time.</w:t>
      </w:r>
    </w:p>
    <w:p w14:paraId="0EABCCFC" w14:textId="22B3E59F" w:rsidR="002814B5" w:rsidRDefault="002814B5" w:rsidP="003F4A04">
      <w:pPr>
        <w:rPr>
          <w:noProof/>
        </w:rPr>
      </w:pPr>
      <w:r>
        <w:rPr>
          <w:noProof/>
        </w:rPr>
        <w:t>Please ensure councillors do not participate in creating timelines</w:t>
      </w:r>
      <w:r w:rsidR="00C417BA">
        <w:rPr>
          <w:noProof/>
        </w:rPr>
        <w:t>, amending them or advising on them directly as that will interfere with procurement guidelines. If you are unsure please contact the Procurement team for training and clarification.</w:t>
      </w:r>
    </w:p>
    <w:p w14:paraId="03287F63" w14:textId="20DE63EA" w:rsidR="00327DF7" w:rsidRDefault="005208F7" w:rsidP="003F4A04">
      <w:r w:rsidRPr="00327DF7">
        <w:rPr>
          <w:noProof/>
        </w:rPr>
        <w:lastRenderedPageBreak/>
        <w:drawing>
          <wp:inline distT="0" distB="0" distL="0" distR="0" wp14:anchorId="518DEBB0" wp14:editId="466226A7">
            <wp:extent cx="8864600" cy="2877820"/>
            <wp:effectExtent l="152400" t="152400" r="355600" b="360680"/>
            <wp:docPr id="2567659" name="Picture 1" descr="A green arrow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659" name="Picture 1" descr="A green arrows with white text&#10;&#10;Description automatically generated"/>
                    <pic:cNvPicPr/>
                  </pic:nvPicPr>
                  <pic:blipFill>
                    <a:blip r:embed="rId12"/>
                    <a:stretch>
                      <a:fillRect/>
                    </a:stretch>
                  </pic:blipFill>
                  <pic:spPr>
                    <a:xfrm>
                      <a:off x="0" y="0"/>
                      <a:ext cx="8864600" cy="2877820"/>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327DF7" w:rsidSect="00327DF7">
      <w:headerReference w:type="default" r:id="rId13"/>
      <w:footerReference w:type="default" r:id="rId14"/>
      <w:pgSz w:w="16840" w:h="11900" w:orient="landscape"/>
      <w:pgMar w:top="1800" w:right="1440" w:bottom="1800" w:left="1440" w:header="708"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hris Gunn" w:date="2024-09-11T17:01:00Z" w:initials="CG">
    <w:p w14:paraId="0D86AF0B" w14:textId="77777777" w:rsidR="009108D7" w:rsidRDefault="009108D7" w:rsidP="009108D7">
      <w:pPr>
        <w:pStyle w:val="CommentText"/>
      </w:pPr>
      <w:r>
        <w:rPr>
          <w:rStyle w:val="CommentReference"/>
        </w:rPr>
        <w:annotationRef/>
      </w:r>
      <w:r>
        <w:rPr>
          <w:lang w:val="en-AU"/>
        </w:rPr>
        <w:t>I have called this “Service Levels” but depending on the content, can consider changing the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86AF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8C0AA9" w16cex:dateUtc="2024-09-1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86AF0B" w16cid:durableId="0D8C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25985" w14:textId="77777777" w:rsidR="00AB55EE" w:rsidRDefault="00AB55EE" w:rsidP="003F4A04">
      <w:r>
        <w:separator/>
      </w:r>
    </w:p>
  </w:endnote>
  <w:endnote w:type="continuationSeparator" w:id="0">
    <w:p w14:paraId="1BF734F0" w14:textId="77777777" w:rsidR="00AB55EE" w:rsidRDefault="00AB55EE" w:rsidP="003F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3FA0" w14:textId="77777777" w:rsidR="00327DF7" w:rsidRPr="00394A1C" w:rsidRDefault="00327DF7" w:rsidP="00C1169E">
    <w:pPr>
      <w:pStyle w:val="Footer"/>
      <w:rPr>
        <w:color w:val="FFFFFF"/>
      </w:rPr>
    </w:pPr>
    <w:r>
      <w:rPr>
        <w:noProof/>
        <w:lang w:val="en-AU" w:eastAsia="en-AU"/>
      </w:rPr>
      <w:drawing>
        <wp:anchor distT="0" distB="0" distL="114300" distR="114300" simplePos="0" relativeHeight="251678720" behindDoc="1" locked="0" layoutInCell="1" allowOverlap="1" wp14:anchorId="77E0E604" wp14:editId="09E52244">
          <wp:simplePos x="0" y="0"/>
          <wp:positionH relativeFrom="page">
            <wp:posOffset>0</wp:posOffset>
          </wp:positionH>
          <wp:positionV relativeFrom="page">
            <wp:posOffset>10053955</wp:posOffset>
          </wp:positionV>
          <wp:extent cx="7560945" cy="643255"/>
          <wp:effectExtent l="0" t="0" r="8255" b="0"/>
          <wp:wrapNone/>
          <wp:docPr id="2009719978" name="Picture 12" descr="Design:DAN_City of Greater Dandenong:DAN1048_MicrosoftTemplates:Design:Imported Graphics:Photoshop:Low Res:Word:Foot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ign:DAN_City of Greater Dandenong:DAN1048_MicrosoftTemplates:Design:Imported Graphics:Photoshop:Low Res:Word:Footer-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A1C">
      <w:rPr>
        <w:rStyle w:val="PageNumber"/>
        <w:rFonts w:ascii="Arial" w:hAnsi="Arial"/>
        <w:color w:val="FFFFFF"/>
      </w:rPr>
      <w:t xml:space="preserve">Page </w:t>
    </w:r>
    <w:r w:rsidRPr="00394A1C">
      <w:rPr>
        <w:rStyle w:val="PageNumber"/>
        <w:rFonts w:ascii="Arial" w:hAnsi="Arial"/>
        <w:color w:val="FFFFFF"/>
      </w:rPr>
      <w:fldChar w:fldCharType="begin"/>
    </w:r>
    <w:r w:rsidRPr="00394A1C">
      <w:rPr>
        <w:rStyle w:val="PageNumber"/>
        <w:rFonts w:ascii="Arial" w:hAnsi="Arial"/>
        <w:color w:val="FFFFFF"/>
      </w:rPr>
      <w:instrText xml:space="preserve">PAGE  </w:instrText>
    </w:r>
    <w:r w:rsidRPr="00394A1C">
      <w:rPr>
        <w:rStyle w:val="PageNumber"/>
        <w:rFonts w:ascii="Arial" w:hAnsi="Arial"/>
        <w:color w:val="FFFFFF"/>
      </w:rPr>
      <w:fldChar w:fldCharType="separate"/>
    </w:r>
    <w:r>
      <w:rPr>
        <w:rStyle w:val="PageNumber"/>
        <w:rFonts w:ascii="Arial" w:hAnsi="Arial"/>
        <w:noProof/>
        <w:color w:val="FFFFFF"/>
      </w:rPr>
      <w:t>2</w:t>
    </w:r>
    <w:r w:rsidRPr="00394A1C">
      <w:rPr>
        <w:rStyle w:val="PageNumber"/>
        <w:rFonts w:ascii="Arial" w:hAnsi="Arial"/>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57095" w14:textId="77777777" w:rsidR="00AB55EE" w:rsidRDefault="00AB55EE" w:rsidP="003F4A04">
      <w:r>
        <w:separator/>
      </w:r>
    </w:p>
  </w:footnote>
  <w:footnote w:type="continuationSeparator" w:id="0">
    <w:p w14:paraId="03291408" w14:textId="77777777" w:rsidR="00AB55EE" w:rsidRDefault="00AB55EE" w:rsidP="003F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DE84" w14:textId="21C30AF6" w:rsidR="00327DF7" w:rsidRDefault="00327DF7" w:rsidP="003F4A04">
    <w:pPr>
      <w:pStyle w:val="Header"/>
    </w:pPr>
    <w:r>
      <w:rPr>
        <w:noProof/>
        <w:lang w:val="en-AU" w:eastAsia="en-AU"/>
      </w:rPr>
      <w:drawing>
        <wp:anchor distT="0" distB="0" distL="114300" distR="114300" simplePos="0" relativeHeight="251675648" behindDoc="1" locked="0" layoutInCell="1" allowOverlap="1" wp14:anchorId="6ED5FD9C" wp14:editId="357171D8">
          <wp:simplePos x="0" y="0"/>
          <wp:positionH relativeFrom="page">
            <wp:align>right</wp:align>
          </wp:positionH>
          <wp:positionV relativeFrom="page">
            <wp:align>top</wp:align>
          </wp:positionV>
          <wp:extent cx="10677525" cy="904875"/>
          <wp:effectExtent l="0" t="0" r="9525" b="9525"/>
          <wp:wrapNone/>
          <wp:docPr id="238273613" name="Picture 11" descr="Design:DAN_City of Greater Dandenong:DAN1048_MicrosoftTemplates:Design:Imported Graphics:Photoshop:Low Res:Word:Head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ign:DAN_City of Greater Dandenong:DAN1048_MicrosoftTemplates:Design:Imported Graphics:Photoshop:Low Res:Word:Header-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5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76672" behindDoc="0" locked="0" layoutInCell="1" allowOverlap="1" wp14:anchorId="40B219A3" wp14:editId="0E0965AA">
              <wp:simplePos x="0" y="0"/>
              <wp:positionH relativeFrom="margin">
                <wp:posOffset>-82550</wp:posOffset>
              </wp:positionH>
              <wp:positionV relativeFrom="paragraph">
                <wp:posOffset>-316230</wp:posOffset>
              </wp:positionV>
              <wp:extent cx="5276850" cy="695325"/>
              <wp:effectExtent l="0" t="0" r="0" b="0"/>
              <wp:wrapNone/>
              <wp:docPr id="1187912437" name="Text Box 1"/>
              <wp:cNvGraphicFramePr/>
              <a:graphic xmlns:a="http://schemas.openxmlformats.org/drawingml/2006/main">
                <a:graphicData uri="http://schemas.microsoft.com/office/word/2010/wordprocessingShape">
                  <wps:wsp>
                    <wps:cNvSpPr txBox="1"/>
                    <wps:spPr>
                      <a:xfrm>
                        <a:off x="0" y="0"/>
                        <a:ext cx="5276850" cy="695325"/>
                      </a:xfrm>
                      <a:prstGeom prst="rect">
                        <a:avLst/>
                      </a:prstGeom>
                      <a:noFill/>
                      <a:ln w="6350">
                        <a:noFill/>
                      </a:ln>
                    </wps:spPr>
                    <wps:txbx>
                      <w:txbxContent>
                        <w:p w14:paraId="223CA2DF" w14:textId="77777777" w:rsidR="00327DF7" w:rsidRPr="009F46E4" w:rsidRDefault="00327DF7" w:rsidP="009F46E4">
                          <w:pPr>
                            <w:spacing w:after="0" w:line="240" w:lineRule="auto"/>
                            <w:rPr>
                              <w:b/>
                              <w:bCs/>
                              <w:color w:val="FFFFFF" w:themeColor="background1"/>
                              <w:sz w:val="40"/>
                              <w:szCs w:val="40"/>
                              <w:lang w:val="en-US"/>
                            </w:rPr>
                          </w:pPr>
                          <w:r w:rsidRPr="009F46E4">
                            <w:rPr>
                              <w:b/>
                              <w:bCs/>
                              <w:color w:val="FFFFFF" w:themeColor="background1"/>
                              <w:sz w:val="40"/>
                              <w:szCs w:val="40"/>
                              <w:lang w:val="en-US"/>
                            </w:rPr>
                            <w:t>City of Greater Dandenong Procurement</w:t>
                          </w:r>
                        </w:p>
                        <w:p w14:paraId="0B41089A" w14:textId="77777777" w:rsidR="00327DF7" w:rsidRPr="009F46E4" w:rsidRDefault="00327DF7" w:rsidP="009F46E4">
                          <w:pPr>
                            <w:spacing w:after="0" w:line="240" w:lineRule="auto"/>
                            <w:rPr>
                              <w:b/>
                              <w:bCs/>
                              <w:color w:val="FFFFFF" w:themeColor="background1"/>
                              <w:sz w:val="34"/>
                              <w:szCs w:val="34"/>
                              <w:lang w:val="en-US"/>
                            </w:rPr>
                          </w:pPr>
                          <w:r w:rsidRPr="009F46E4">
                            <w:rPr>
                              <w:b/>
                              <w:bCs/>
                              <w:color w:val="FFFFFF" w:themeColor="background1"/>
                              <w:sz w:val="34"/>
                              <w:szCs w:val="34"/>
                              <w:lang w:val="en-US"/>
                            </w:rPr>
                            <w:t>Quick Reference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219A3" id="_x0000_t202" coordsize="21600,21600" o:spt="202" path="m,l,21600r21600,l21600,xe">
              <v:stroke joinstyle="miter"/>
              <v:path gradientshapeok="t" o:connecttype="rect"/>
            </v:shapetype>
            <v:shape id="Text Box 1" o:spid="_x0000_s1026" type="#_x0000_t202" style="position:absolute;margin-left:-6.5pt;margin-top:-24.9pt;width:415.5pt;height:54.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" filled="f" stroked="f" strokeweight=".5pt">
              <v:textbox>
                <w:txbxContent>
                  <w:p w14:paraId="223CA2DF" w14:textId="77777777" w:rsidR="00327DF7" w:rsidRPr="009F46E4" w:rsidRDefault="00327DF7" w:rsidP="009F46E4">
                    <w:pPr>
                      <w:spacing w:after="0" w:line="240" w:lineRule="auto"/>
                      <w:rPr>
                        <w:b/>
                        <w:bCs/>
                        <w:color w:val="FFFFFF" w:themeColor="background1"/>
                        <w:sz w:val="40"/>
                        <w:szCs w:val="40"/>
                        <w:lang w:val="en-US"/>
                      </w:rPr>
                    </w:pPr>
                    <w:r w:rsidRPr="009F46E4">
                      <w:rPr>
                        <w:b/>
                        <w:bCs/>
                        <w:color w:val="FFFFFF" w:themeColor="background1"/>
                        <w:sz w:val="40"/>
                        <w:szCs w:val="40"/>
                        <w:lang w:val="en-US"/>
                      </w:rPr>
                      <w:t>City of Greater Dandenong Procurement</w:t>
                    </w:r>
                  </w:p>
                  <w:p w14:paraId="0B41089A" w14:textId="77777777" w:rsidR="00327DF7" w:rsidRPr="009F46E4" w:rsidRDefault="00327DF7" w:rsidP="009F46E4">
                    <w:pPr>
                      <w:spacing w:after="0" w:line="240" w:lineRule="auto"/>
                      <w:rPr>
                        <w:b/>
                        <w:bCs/>
                        <w:color w:val="FFFFFF" w:themeColor="background1"/>
                        <w:sz w:val="34"/>
                        <w:szCs w:val="34"/>
                        <w:lang w:val="en-US"/>
                      </w:rPr>
                    </w:pPr>
                    <w:r w:rsidRPr="009F46E4">
                      <w:rPr>
                        <w:b/>
                        <w:bCs/>
                        <w:color w:val="FFFFFF" w:themeColor="background1"/>
                        <w:sz w:val="34"/>
                        <w:szCs w:val="34"/>
                        <w:lang w:val="en-US"/>
                      </w:rPr>
                      <w:t>Quick Reference Guide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47BA"/>
    <w:multiLevelType w:val="hybridMultilevel"/>
    <w:tmpl w:val="E92A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F66AA"/>
    <w:multiLevelType w:val="hybridMultilevel"/>
    <w:tmpl w:val="A0F6998C"/>
    <w:lvl w:ilvl="0" w:tplc="0DA605F2">
      <w:numFmt w:val="bullet"/>
      <w:lvlText w:val="•"/>
      <w:lvlJc w:val="left"/>
      <w:pPr>
        <w:ind w:left="1080" w:hanging="72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EF28A2"/>
    <w:multiLevelType w:val="hybridMultilevel"/>
    <w:tmpl w:val="4F7E0B3A"/>
    <w:lvl w:ilvl="0" w:tplc="0DA605F2">
      <w:numFmt w:val="bullet"/>
      <w:lvlText w:val="•"/>
      <w:lvlJc w:val="left"/>
      <w:pPr>
        <w:ind w:left="1080" w:hanging="72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FB40B8"/>
    <w:multiLevelType w:val="hybridMultilevel"/>
    <w:tmpl w:val="0276B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9C4BC7"/>
    <w:multiLevelType w:val="hybridMultilevel"/>
    <w:tmpl w:val="B43AA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9304D1"/>
    <w:multiLevelType w:val="hybridMultilevel"/>
    <w:tmpl w:val="03FC36E6"/>
    <w:lvl w:ilvl="0" w:tplc="007A809A">
      <w:start w:val="1"/>
      <w:numFmt w:val="bullet"/>
      <w:lvlText w:val="-"/>
      <w:lvlJc w:val="left"/>
      <w:pPr>
        <w:ind w:left="720" w:hanging="36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100B88"/>
    <w:multiLevelType w:val="hybridMultilevel"/>
    <w:tmpl w:val="311C8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4F600F"/>
    <w:multiLevelType w:val="hybridMultilevel"/>
    <w:tmpl w:val="AFFA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965578"/>
    <w:multiLevelType w:val="hybridMultilevel"/>
    <w:tmpl w:val="24CC1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04423"/>
    <w:multiLevelType w:val="hybridMultilevel"/>
    <w:tmpl w:val="7298C2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A02BBD"/>
    <w:multiLevelType w:val="hybridMultilevel"/>
    <w:tmpl w:val="7F0A357A"/>
    <w:lvl w:ilvl="0" w:tplc="0DA605F2">
      <w:numFmt w:val="bullet"/>
      <w:lvlText w:val="•"/>
      <w:lvlJc w:val="left"/>
      <w:pPr>
        <w:ind w:left="1080" w:hanging="72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F0612E"/>
    <w:multiLevelType w:val="hybridMultilevel"/>
    <w:tmpl w:val="B8D0A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C27429"/>
    <w:multiLevelType w:val="hybridMultilevel"/>
    <w:tmpl w:val="50A2D694"/>
    <w:lvl w:ilvl="0" w:tplc="007A809A">
      <w:start w:val="1"/>
      <w:numFmt w:val="bullet"/>
      <w:lvlText w:val="-"/>
      <w:lvlJc w:val="left"/>
      <w:pPr>
        <w:ind w:left="720" w:hanging="36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2F3FFC"/>
    <w:multiLevelType w:val="hybridMultilevel"/>
    <w:tmpl w:val="B59E1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164080"/>
    <w:multiLevelType w:val="hybridMultilevel"/>
    <w:tmpl w:val="40F66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FEA1510"/>
    <w:multiLevelType w:val="hybridMultilevel"/>
    <w:tmpl w:val="0AAEFD0A"/>
    <w:lvl w:ilvl="0" w:tplc="007A809A">
      <w:start w:val="1"/>
      <w:numFmt w:val="bullet"/>
      <w:lvlText w:val="-"/>
      <w:lvlJc w:val="left"/>
      <w:pPr>
        <w:ind w:left="720" w:hanging="360"/>
      </w:pPr>
      <w:rPr>
        <w:rFonts w:ascii="ArialMT" w:eastAsia="MS Mincho"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1798826">
    <w:abstractNumId w:val="14"/>
  </w:num>
  <w:num w:numId="2" w16cid:durableId="2131707535">
    <w:abstractNumId w:val="14"/>
  </w:num>
  <w:num w:numId="3" w16cid:durableId="632951920">
    <w:abstractNumId w:val="7"/>
  </w:num>
  <w:num w:numId="4" w16cid:durableId="939069930">
    <w:abstractNumId w:val="11"/>
  </w:num>
  <w:num w:numId="5" w16cid:durableId="1171067281">
    <w:abstractNumId w:val="4"/>
  </w:num>
  <w:num w:numId="6" w16cid:durableId="1477719371">
    <w:abstractNumId w:val="3"/>
  </w:num>
  <w:num w:numId="7" w16cid:durableId="516576636">
    <w:abstractNumId w:val="9"/>
  </w:num>
  <w:num w:numId="8" w16cid:durableId="1083799803">
    <w:abstractNumId w:val="0"/>
  </w:num>
  <w:num w:numId="9" w16cid:durableId="314996369">
    <w:abstractNumId w:val="13"/>
  </w:num>
  <w:num w:numId="10" w16cid:durableId="459811859">
    <w:abstractNumId w:val="2"/>
  </w:num>
  <w:num w:numId="11" w16cid:durableId="292684135">
    <w:abstractNumId w:val="1"/>
  </w:num>
  <w:num w:numId="12" w16cid:durableId="575554726">
    <w:abstractNumId w:val="10"/>
  </w:num>
  <w:num w:numId="13" w16cid:durableId="1517038667">
    <w:abstractNumId w:val="15"/>
  </w:num>
  <w:num w:numId="14" w16cid:durableId="826941948">
    <w:abstractNumId w:val="12"/>
  </w:num>
  <w:num w:numId="15" w16cid:durableId="532117766">
    <w:abstractNumId w:val="5"/>
  </w:num>
  <w:num w:numId="16" w16cid:durableId="1503812718">
    <w:abstractNumId w:val="8"/>
  </w:num>
  <w:num w:numId="17" w16cid:durableId="11070465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 Gunn">
    <w15:presenceInfo w15:providerId="AD" w15:userId="S::chris.gunn@arcblue.com::84fff620-24a0-48f9-aa8e-f58800ed7f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23"/>
    <w:rsid w:val="00016FC9"/>
    <w:rsid w:val="00025973"/>
    <w:rsid w:val="00052845"/>
    <w:rsid w:val="00054231"/>
    <w:rsid w:val="00057C21"/>
    <w:rsid w:val="00073F96"/>
    <w:rsid w:val="00077A79"/>
    <w:rsid w:val="00083E41"/>
    <w:rsid w:val="00084F56"/>
    <w:rsid w:val="00090187"/>
    <w:rsid w:val="00091955"/>
    <w:rsid w:val="00095B15"/>
    <w:rsid w:val="000A78DE"/>
    <w:rsid w:val="000B0ECC"/>
    <w:rsid w:val="000D5AF0"/>
    <w:rsid w:val="000D678D"/>
    <w:rsid w:val="00115DE5"/>
    <w:rsid w:val="00122CD9"/>
    <w:rsid w:val="00157D59"/>
    <w:rsid w:val="00192A80"/>
    <w:rsid w:val="00197CB0"/>
    <w:rsid w:val="001A35D4"/>
    <w:rsid w:val="001C0950"/>
    <w:rsid w:val="001C549D"/>
    <w:rsid w:val="001E571E"/>
    <w:rsid w:val="001F4302"/>
    <w:rsid w:val="00213B98"/>
    <w:rsid w:val="00217BC2"/>
    <w:rsid w:val="0022304F"/>
    <w:rsid w:val="00233CC9"/>
    <w:rsid w:val="0024140D"/>
    <w:rsid w:val="00251F36"/>
    <w:rsid w:val="0025667E"/>
    <w:rsid w:val="00273F9C"/>
    <w:rsid w:val="00277EC3"/>
    <w:rsid w:val="00280FED"/>
    <w:rsid w:val="002814B5"/>
    <w:rsid w:val="002A143A"/>
    <w:rsid w:val="002B5644"/>
    <w:rsid w:val="002C6A31"/>
    <w:rsid w:val="002C7860"/>
    <w:rsid w:val="002D62B0"/>
    <w:rsid w:val="002D6835"/>
    <w:rsid w:val="002E318B"/>
    <w:rsid w:val="002E4D84"/>
    <w:rsid w:val="002F5428"/>
    <w:rsid w:val="00300F8E"/>
    <w:rsid w:val="003074A7"/>
    <w:rsid w:val="00314A18"/>
    <w:rsid w:val="00322123"/>
    <w:rsid w:val="0032225C"/>
    <w:rsid w:val="00327DF7"/>
    <w:rsid w:val="00344356"/>
    <w:rsid w:val="00353E2E"/>
    <w:rsid w:val="00357C9E"/>
    <w:rsid w:val="00360A42"/>
    <w:rsid w:val="00362370"/>
    <w:rsid w:val="003856D9"/>
    <w:rsid w:val="00387D25"/>
    <w:rsid w:val="003913C2"/>
    <w:rsid w:val="00391627"/>
    <w:rsid w:val="003930CA"/>
    <w:rsid w:val="00394A1C"/>
    <w:rsid w:val="003A0AE3"/>
    <w:rsid w:val="003B2F9C"/>
    <w:rsid w:val="003C5792"/>
    <w:rsid w:val="003E380E"/>
    <w:rsid w:val="003F4A04"/>
    <w:rsid w:val="004271DC"/>
    <w:rsid w:val="00436D3D"/>
    <w:rsid w:val="00446072"/>
    <w:rsid w:val="00447143"/>
    <w:rsid w:val="0046216A"/>
    <w:rsid w:val="00474157"/>
    <w:rsid w:val="004748A4"/>
    <w:rsid w:val="00480DA3"/>
    <w:rsid w:val="004953EE"/>
    <w:rsid w:val="004A36F4"/>
    <w:rsid w:val="004A5BDC"/>
    <w:rsid w:val="004A78E7"/>
    <w:rsid w:val="004D28A3"/>
    <w:rsid w:val="004E1FA9"/>
    <w:rsid w:val="00511657"/>
    <w:rsid w:val="00517C4B"/>
    <w:rsid w:val="005208F7"/>
    <w:rsid w:val="0052209D"/>
    <w:rsid w:val="00524AF9"/>
    <w:rsid w:val="005622C1"/>
    <w:rsid w:val="0056253C"/>
    <w:rsid w:val="00562D38"/>
    <w:rsid w:val="00567132"/>
    <w:rsid w:val="0057019C"/>
    <w:rsid w:val="0058166F"/>
    <w:rsid w:val="00586FC2"/>
    <w:rsid w:val="00595607"/>
    <w:rsid w:val="005A02A4"/>
    <w:rsid w:val="005C67A0"/>
    <w:rsid w:val="005C71A4"/>
    <w:rsid w:val="005E1A08"/>
    <w:rsid w:val="005E7050"/>
    <w:rsid w:val="005F4BDB"/>
    <w:rsid w:val="005F56BC"/>
    <w:rsid w:val="005F6E13"/>
    <w:rsid w:val="005F742D"/>
    <w:rsid w:val="00662FDA"/>
    <w:rsid w:val="00663D18"/>
    <w:rsid w:val="006758A1"/>
    <w:rsid w:val="00682899"/>
    <w:rsid w:val="006B0125"/>
    <w:rsid w:val="006B4ACC"/>
    <w:rsid w:val="006B7747"/>
    <w:rsid w:val="006C1DD1"/>
    <w:rsid w:val="006E1EDA"/>
    <w:rsid w:val="006E756C"/>
    <w:rsid w:val="006F2376"/>
    <w:rsid w:val="006F601E"/>
    <w:rsid w:val="007054CA"/>
    <w:rsid w:val="0073113D"/>
    <w:rsid w:val="0075366E"/>
    <w:rsid w:val="0075547D"/>
    <w:rsid w:val="00767BA8"/>
    <w:rsid w:val="007743E5"/>
    <w:rsid w:val="00785800"/>
    <w:rsid w:val="007879C2"/>
    <w:rsid w:val="00790D62"/>
    <w:rsid w:val="007B6411"/>
    <w:rsid w:val="007D4617"/>
    <w:rsid w:val="007E2A4A"/>
    <w:rsid w:val="00802573"/>
    <w:rsid w:val="00802BD0"/>
    <w:rsid w:val="008041DE"/>
    <w:rsid w:val="00810B88"/>
    <w:rsid w:val="0081605F"/>
    <w:rsid w:val="00820714"/>
    <w:rsid w:val="008303B9"/>
    <w:rsid w:val="008405B5"/>
    <w:rsid w:val="00845621"/>
    <w:rsid w:val="008505A1"/>
    <w:rsid w:val="00852D45"/>
    <w:rsid w:val="0086253E"/>
    <w:rsid w:val="00872243"/>
    <w:rsid w:val="008725C7"/>
    <w:rsid w:val="008A5818"/>
    <w:rsid w:val="008B7B50"/>
    <w:rsid w:val="008C2D7A"/>
    <w:rsid w:val="008E017D"/>
    <w:rsid w:val="008E4936"/>
    <w:rsid w:val="0090356B"/>
    <w:rsid w:val="009103C6"/>
    <w:rsid w:val="009108D7"/>
    <w:rsid w:val="009155F8"/>
    <w:rsid w:val="00920629"/>
    <w:rsid w:val="00925904"/>
    <w:rsid w:val="00933779"/>
    <w:rsid w:val="00953D2A"/>
    <w:rsid w:val="00965E6E"/>
    <w:rsid w:val="00984D14"/>
    <w:rsid w:val="009F46E4"/>
    <w:rsid w:val="00A12968"/>
    <w:rsid w:val="00A1415D"/>
    <w:rsid w:val="00A15902"/>
    <w:rsid w:val="00A32DA9"/>
    <w:rsid w:val="00A60787"/>
    <w:rsid w:val="00A62A94"/>
    <w:rsid w:val="00A63CF6"/>
    <w:rsid w:val="00A83F16"/>
    <w:rsid w:val="00AB174F"/>
    <w:rsid w:val="00AB55EE"/>
    <w:rsid w:val="00AC7A1B"/>
    <w:rsid w:val="00AD1619"/>
    <w:rsid w:val="00AD7433"/>
    <w:rsid w:val="00AE2F7D"/>
    <w:rsid w:val="00AE7FBB"/>
    <w:rsid w:val="00AF36DA"/>
    <w:rsid w:val="00B22CD3"/>
    <w:rsid w:val="00B7659C"/>
    <w:rsid w:val="00B903B3"/>
    <w:rsid w:val="00BB48A4"/>
    <w:rsid w:val="00BC3DF7"/>
    <w:rsid w:val="00BD4AB8"/>
    <w:rsid w:val="00BD6FE6"/>
    <w:rsid w:val="00BE0053"/>
    <w:rsid w:val="00BE1BFF"/>
    <w:rsid w:val="00C07FEA"/>
    <w:rsid w:val="00C1169E"/>
    <w:rsid w:val="00C16B48"/>
    <w:rsid w:val="00C3652C"/>
    <w:rsid w:val="00C407D1"/>
    <w:rsid w:val="00C417BA"/>
    <w:rsid w:val="00C4343E"/>
    <w:rsid w:val="00C43B0D"/>
    <w:rsid w:val="00C63E5E"/>
    <w:rsid w:val="00CA145D"/>
    <w:rsid w:val="00CA1BDB"/>
    <w:rsid w:val="00CB4041"/>
    <w:rsid w:val="00CB7DC2"/>
    <w:rsid w:val="00CE48BA"/>
    <w:rsid w:val="00CE5787"/>
    <w:rsid w:val="00CF4231"/>
    <w:rsid w:val="00D056E2"/>
    <w:rsid w:val="00D0669A"/>
    <w:rsid w:val="00D06C67"/>
    <w:rsid w:val="00D07BAA"/>
    <w:rsid w:val="00D229C9"/>
    <w:rsid w:val="00D64117"/>
    <w:rsid w:val="00D70441"/>
    <w:rsid w:val="00D956D9"/>
    <w:rsid w:val="00DB4923"/>
    <w:rsid w:val="00DC1B05"/>
    <w:rsid w:val="00DE23A4"/>
    <w:rsid w:val="00E07B67"/>
    <w:rsid w:val="00E27D8B"/>
    <w:rsid w:val="00E342EE"/>
    <w:rsid w:val="00E71B9C"/>
    <w:rsid w:val="00E768A6"/>
    <w:rsid w:val="00E90E3C"/>
    <w:rsid w:val="00EB0427"/>
    <w:rsid w:val="00EB69CE"/>
    <w:rsid w:val="00EC69C7"/>
    <w:rsid w:val="00F01246"/>
    <w:rsid w:val="00F07A23"/>
    <w:rsid w:val="00F41E61"/>
    <w:rsid w:val="00F6031F"/>
    <w:rsid w:val="00F607BC"/>
    <w:rsid w:val="00F64BA9"/>
    <w:rsid w:val="00F70292"/>
    <w:rsid w:val="00F80C06"/>
    <w:rsid w:val="00F853BC"/>
    <w:rsid w:val="00F9580B"/>
    <w:rsid w:val="00F97CEA"/>
    <w:rsid w:val="00FF0C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847E1"/>
  <w14:defaultImageDpi w14:val="330"/>
  <w15:docId w15:val="{7A1C697F-56E2-4D55-A2EE-748BF438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04"/>
    <w:pPr>
      <w:widowControl w:val="0"/>
      <w:autoSpaceDE w:val="0"/>
      <w:autoSpaceDN w:val="0"/>
      <w:adjustRightInd w:val="0"/>
      <w:spacing w:after="170" w:line="288" w:lineRule="auto"/>
      <w:textAlignment w:val="center"/>
    </w:pPr>
    <w:rPr>
      <w:rFonts w:ascii="ArialMT" w:hAnsi="ArialMT" w:cs="ArialMT"/>
      <w:color w:val="000000"/>
      <w:sz w:val="22"/>
      <w:szCs w:val="22"/>
      <w:lang w:val="en-GB"/>
    </w:rPr>
  </w:style>
  <w:style w:type="paragraph" w:styleId="Heading1">
    <w:name w:val="heading 1"/>
    <w:basedOn w:val="BasicParagraph"/>
    <w:next w:val="Normal"/>
    <w:link w:val="Heading1Char"/>
    <w:uiPriority w:val="9"/>
    <w:qFormat/>
    <w:rsid w:val="00C1169E"/>
    <w:pPr>
      <w:outlineLvl w:val="0"/>
    </w:pPr>
    <w:rPr>
      <w:rFonts w:ascii="Arial-BoldMT" w:hAnsi="Arial-BoldMT" w:cs="Arial-BoldMT"/>
      <w:b/>
      <w:bCs/>
      <w:color w:val="103A61"/>
      <w:sz w:val="52"/>
      <w:szCs w:val="52"/>
    </w:rPr>
  </w:style>
  <w:style w:type="paragraph" w:styleId="Heading2">
    <w:name w:val="heading 2"/>
    <w:basedOn w:val="Normal"/>
    <w:next w:val="Normal"/>
    <w:link w:val="Heading2Char"/>
    <w:uiPriority w:val="9"/>
    <w:unhideWhenUsed/>
    <w:qFormat/>
    <w:rsid w:val="00C1169E"/>
    <w:pPr>
      <w:outlineLvl w:val="1"/>
    </w:pPr>
    <w:rPr>
      <w:b/>
      <w:color w:val="00938B"/>
      <w:sz w:val="32"/>
      <w:szCs w:val="32"/>
    </w:rPr>
  </w:style>
  <w:style w:type="paragraph" w:styleId="Heading3">
    <w:name w:val="heading 3"/>
    <w:basedOn w:val="Heading2"/>
    <w:next w:val="Normal"/>
    <w:link w:val="Heading3Char"/>
    <w:uiPriority w:val="9"/>
    <w:unhideWhenUsed/>
    <w:qFormat/>
    <w:rsid w:val="003F4A04"/>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TableStyle">
    <w:name w:val="A Table Style"/>
    <w:basedOn w:val="TableNormal"/>
    <w:uiPriority w:val="99"/>
    <w:rsid w:val="00090187"/>
    <w:rPr>
      <w:rFonts w:ascii="Arial" w:hAnsi="Arial"/>
      <w:sz w:val="18"/>
      <w:szCs w:val="18"/>
    </w:rPr>
    <w:tblPr>
      <w:tblBorders>
        <w:top w:val="single" w:sz="4" w:space="0" w:color="26BEE7"/>
        <w:bottom w:val="single" w:sz="4" w:space="0" w:color="26BEE7"/>
        <w:insideH w:val="single" w:sz="4" w:space="0" w:color="26BEE7"/>
      </w:tblBorders>
      <w:tblCellMar>
        <w:top w:w="57" w:type="dxa"/>
        <w:bottom w:w="57" w:type="dxa"/>
      </w:tblCellMar>
    </w:tblPr>
    <w:tblStylePr w:type="firstRow">
      <w:rPr>
        <w:rFonts w:ascii="Arial" w:hAnsi="Arial"/>
        <w:b/>
        <w:i w:val="0"/>
        <w:color w:val="FFFFFF"/>
        <w:sz w:val="18"/>
      </w:rPr>
      <w:tblPr/>
      <w:tcPr>
        <w:shd w:val="clear" w:color="auto" w:fill="26BEE7"/>
      </w:tcPr>
    </w:tblStylePr>
    <w:tblStylePr w:type="lastRow">
      <w:tblPr/>
      <w:tcPr>
        <w:shd w:val="clear" w:color="auto" w:fill="DAEEF3"/>
      </w:tcPr>
    </w:tblStylePr>
  </w:style>
  <w:style w:type="paragraph" w:styleId="BalloonText">
    <w:name w:val="Balloon Text"/>
    <w:basedOn w:val="Normal"/>
    <w:link w:val="BalloonTextChar"/>
    <w:uiPriority w:val="99"/>
    <w:semiHidden/>
    <w:unhideWhenUsed/>
    <w:rsid w:val="00217BC2"/>
    <w:rPr>
      <w:rFonts w:ascii="Lucida Grande" w:hAnsi="Lucida Grande"/>
      <w:sz w:val="18"/>
      <w:szCs w:val="18"/>
    </w:rPr>
  </w:style>
  <w:style w:type="character" w:customStyle="1" w:styleId="BalloonTextChar">
    <w:name w:val="Balloon Text Char"/>
    <w:link w:val="BalloonText"/>
    <w:uiPriority w:val="99"/>
    <w:semiHidden/>
    <w:rsid w:val="00217BC2"/>
    <w:rPr>
      <w:rFonts w:ascii="Lucida Grande" w:hAnsi="Lucida Grande"/>
      <w:sz w:val="18"/>
      <w:szCs w:val="18"/>
    </w:rPr>
  </w:style>
  <w:style w:type="paragraph" w:styleId="Header">
    <w:name w:val="header"/>
    <w:basedOn w:val="Normal"/>
    <w:link w:val="HeaderChar"/>
    <w:uiPriority w:val="99"/>
    <w:unhideWhenUsed/>
    <w:rsid w:val="008B7B50"/>
    <w:pPr>
      <w:tabs>
        <w:tab w:val="center" w:pos="4320"/>
        <w:tab w:val="right" w:pos="8640"/>
      </w:tabs>
    </w:pPr>
  </w:style>
  <w:style w:type="character" w:customStyle="1" w:styleId="HeaderChar">
    <w:name w:val="Header Char"/>
    <w:basedOn w:val="DefaultParagraphFont"/>
    <w:link w:val="Header"/>
    <w:uiPriority w:val="99"/>
    <w:rsid w:val="008B7B50"/>
  </w:style>
  <w:style w:type="paragraph" w:styleId="Footer">
    <w:name w:val="footer"/>
    <w:basedOn w:val="Normal"/>
    <w:link w:val="FooterChar"/>
    <w:uiPriority w:val="99"/>
    <w:unhideWhenUsed/>
    <w:rsid w:val="008B7B50"/>
    <w:pPr>
      <w:tabs>
        <w:tab w:val="center" w:pos="4320"/>
        <w:tab w:val="right" w:pos="8640"/>
      </w:tabs>
    </w:pPr>
  </w:style>
  <w:style w:type="character" w:customStyle="1" w:styleId="FooterChar">
    <w:name w:val="Footer Char"/>
    <w:basedOn w:val="DefaultParagraphFont"/>
    <w:link w:val="Footer"/>
    <w:uiPriority w:val="99"/>
    <w:rsid w:val="008B7B50"/>
  </w:style>
  <w:style w:type="character" w:styleId="PageNumber">
    <w:name w:val="page number"/>
    <w:basedOn w:val="DefaultParagraphFont"/>
    <w:uiPriority w:val="99"/>
    <w:semiHidden/>
    <w:unhideWhenUsed/>
    <w:rsid w:val="008B7B50"/>
  </w:style>
  <w:style w:type="paragraph" w:customStyle="1" w:styleId="BasicParagraph">
    <w:name w:val="[Basic Paragraph]"/>
    <w:basedOn w:val="Normal"/>
    <w:uiPriority w:val="99"/>
    <w:rsid w:val="003F4A04"/>
    <w:rPr>
      <w:rFonts w:ascii="MinionPro-Regular" w:hAnsi="MinionPro-Regular" w:cs="MinionPro-Regular"/>
    </w:rPr>
  </w:style>
  <w:style w:type="character" w:customStyle="1" w:styleId="Heading1Char">
    <w:name w:val="Heading 1 Char"/>
    <w:link w:val="Heading1"/>
    <w:uiPriority w:val="9"/>
    <w:rsid w:val="00C1169E"/>
    <w:rPr>
      <w:rFonts w:ascii="Arial-BoldMT" w:hAnsi="Arial-BoldMT" w:cs="Arial-BoldMT"/>
      <w:b/>
      <w:bCs/>
      <w:color w:val="103A61"/>
      <w:sz w:val="52"/>
      <w:szCs w:val="52"/>
      <w:lang w:val="en-GB"/>
    </w:rPr>
  </w:style>
  <w:style w:type="character" w:customStyle="1" w:styleId="Heading2Char">
    <w:name w:val="Heading 2 Char"/>
    <w:link w:val="Heading2"/>
    <w:uiPriority w:val="9"/>
    <w:rsid w:val="00C1169E"/>
    <w:rPr>
      <w:rFonts w:ascii="ArialMT" w:hAnsi="ArialMT" w:cs="ArialMT"/>
      <w:b/>
      <w:color w:val="00938B"/>
      <w:sz w:val="32"/>
      <w:szCs w:val="32"/>
      <w:lang w:val="en-GB"/>
    </w:rPr>
  </w:style>
  <w:style w:type="character" w:customStyle="1" w:styleId="Heading3Char">
    <w:name w:val="Heading 3 Char"/>
    <w:link w:val="Heading3"/>
    <w:uiPriority w:val="9"/>
    <w:rsid w:val="003F4A04"/>
    <w:rPr>
      <w:rFonts w:ascii="ArialMT" w:hAnsi="ArialMT" w:cs="ArialMT"/>
      <w:b/>
      <w:i/>
      <w:color w:val="CA3425"/>
      <w:sz w:val="32"/>
      <w:szCs w:val="32"/>
      <w:lang w:val="en-GB"/>
    </w:rPr>
  </w:style>
  <w:style w:type="paragraph" w:customStyle="1" w:styleId="Titlepageheading">
    <w:name w:val="Title page heading"/>
    <w:basedOn w:val="Heading1"/>
    <w:qFormat/>
    <w:rsid w:val="003F4A04"/>
    <w:rPr>
      <w:color w:val="FFFFFF"/>
      <w:sz w:val="100"/>
      <w:szCs w:val="100"/>
    </w:rPr>
  </w:style>
  <w:style w:type="table" w:styleId="TableGrid">
    <w:name w:val="Table Grid"/>
    <w:basedOn w:val="TableNormal"/>
    <w:uiPriority w:val="59"/>
    <w:rsid w:val="009F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0C06"/>
    <w:pPr>
      <w:ind w:left="720"/>
      <w:contextualSpacing/>
    </w:pPr>
  </w:style>
  <w:style w:type="character" w:styleId="CommentReference">
    <w:name w:val="annotation reference"/>
    <w:basedOn w:val="DefaultParagraphFont"/>
    <w:uiPriority w:val="99"/>
    <w:semiHidden/>
    <w:unhideWhenUsed/>
    <w:rsid w:val="00AE7FBB"/>
    <w:rPr>
      <w:sz w:val="16"/>
      <w:szCs w:val="16"/>
    </w:rPr>
  </w:style>
  <w:style w:type="paragraph" w:styleId="CommentText">
    <w:name w:val="annotation text"/>
    <w:basedOn w:val="Normal"/>
    <w:link w:val="CommentTextChar"/>
    <w:uiPriority w:val="99"/>
    <w:unhideWhenUsed/>
    <w:rsid w:val="00AE7FBB"/>
    <w:pPr>
      <w:spacing w:line="240" w:lineRule="auto"/>
    </w:pPr>
    <w:rPr>
      <w:sz w:val="20"/>
      <w:szCs w:val="20"/>
    </w:rPr>
  </w:style>
  <w:style w:type="character" w:customStyle="1" w:styleId="CommentTextChar">
    <w:name w:val="Comment Text Char"/>
    <w:basedOn w:val="DefaultParagraphFont"/>
    <w:link w:val="CommentText"/>
    <w:uiPriority w:val="99"/>
    <w:rsid w:val="00AE7FBB"/>
    <w:rPr>
      <w:rFonts w:ascii="ArialMT" w:hAnsi="ArialMT" w:cs="ArialMT"/>
      <w:color w:val="000000"/>
      <w:lang w:val="en-GB"/>
    </w:rPr>
  </w:style>
  <w:style w:type="paragraph" w:styleId="CommentSubject">
    <w:name w:val="annotation subject"/>
    <w:basedOn w:val="CommentText"/>
    <w:next w:val="CommentText"/>
    <w:link w:val="CommentSubjectChar"/>
    <w:uiPriority w:val="99"/>
    <w:semiHidden/>
    <w:unhideWhenUsed/>
    <w:rsid w:val="00AE7FBB"/>
    <w:rPr>
      <w:b/>
      <w:bCs/>
    </w:rPr>
  </w:style>
  <w:style w:type="character" w:customStyle="1" w:styleId="CommentSubjectChar">
    <w:name w:val="Comment Subject Char"/>
    <w:basedOn w:val="CommentTextChar"/>
    <w:link w:val="CommentSubject"/>
    <w:uiPriority w:val="99"/>
    <w:semiHidden/>
    <w:rsid w:val="00AE7FBB"/>
    <w:rPr>
      <w:rFonts w:ascii="ArialMT" w:hAnsi="ArialMT" w:cs="ArialMT"/>
      <w:b/>
      <w:bCs/>
      <w:color w:val="000000"/>
      <w:lang w:val="en-GB"/>
    </w:rPr>
  </w:style>
  <w:style w:type="character" w:customStyle="1" w:styleId="ListParagraphChar">
    <w:name w:val="List Paragraph Char"/>
    <w:basedOn w:val="DefaultParagraphFont"/>
    <w:link w:val="ListParagraph"/>
    <w:uiPriority w:val="34"/>
    <w:rsid w:val="0075547D"/>
    <w:rPr>
      <w:rFonts w:ascii="ArialMT" w:hAnsi="ArialMT" w:cs="ArialMT"/>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6554">
      <w:bodyDiv w:val="1"/>
      <w:marLeft w:val="0"/>
      <w:marRight w:val="0"/>
      <w:marTop w:val="0"/>
      <w:marBottom w:val="0"/>
      <w:divBdr>
        <w:top w:val="none" w:sz="0" w:space="0" w:color="auto"/>
        <w:left w:val="none" w:sz="0" w:space="0" w:color="auto"/>
        <w:bottom w:val="none" w:sz="0" w:space="0" w:color="auto"/>
        <w:right w:val="none" w:sz="0" w:space="0" w:color="auto"/>
      </w:divBdr>
    </w:div>
    <w:div w:id="268439327">
      <w:bodyDiv w:val="1"/>
      <w:marLeft w:val="0"/>
      <w:marRight w:val="0"/>
      <w:marTop w:val="0"/>
      <w:marBottom w:val="0"/>
      <w:divBdr>
        <w:top w:val="none" w:sz="0" w:space="0" w:color="auto"/>
        <w:left w:val="none" w:sz="0" w:space="0" w:color="auto"/>
        <w:bottom w:val="none" w:sz="0" w:space="0" w:color="auto"/>
        <w:right w:val="none" w:sz="0" w:space="0" w:color="auto"/>
      </w:divBdr>
    </w:div>
    <w:div w:id="538737771">
      <w:bodyDiv w:val="1"/>
      <w:marLeft w:val="0"/>
      <w:marRight w:val="0"/>
      <w:marTop w:val="0"/>
      <w:marBottom w:val="0"/>
      <w:divBdr>
        <w:top w:val="none" w:sz="0" w:space="0" w:color="auto"/>
        <w:left w:val="none" w:sz="0" w:space="0" w:color="auto"/>
        <w:bottom w:val="none" w:sz="0" w:space="0" w:color="auto"/>
        <w:right w:val="none" w:sz="0" w:space="0" w:color="auto"/>
      </w:divBdr>
    </w:div>
    <w:div w:id="966547866">
      <w:bodyDiv w:val="1"/>
      <w:marLeft w:val="0"/>
      <w:marRight w:val="0"/>
      <w:marTop w:val="0"/>
      <w:marBottom w:val="0"/>
      <w:divBdr>
        <w:top w:val="none" w:sz="0" w:space="0" w:color="auto"/>
        <w:left w:val="none" w:sz="0" w:space="0" w:color="auto"/>
        <w:bottom w:val="none" w:sz="0" w:space="0" w:color="auto"/>
        <w:right w:val="none" w:sz="0" w:space="0" w:color="auto"/>
      </w:divBdr>
    </w:div>
    <w:div w:id="1213687379">
      <w:bodyDiv w:val="1"/>
      <w:marLeft w:val="0"/>
      <w:marRight w:val="0"/>
      <w:marTop w:val="0"/>
      <w:marBottom w:val="0"/>
      <w:divBdr>
        <w:top w:val="none" w:sz="0" w:space="0" w:color="auto"/>
        <w:left w:val="none" w:sz="0" w:space="0" w:color="auto"/>
        <w:bottom w:val="none" w:sz="0" w:space="0" w:color="auto"/>
        <w:right w:val="none" w:sz="0" w:space="0" w:color="auto"/>
      </w:divBdr>
    </w:div>
    <w:div w:id="1517227303">
      <w:bodyDiv w:val="1"/>
      <w:marLeft w:val="0"/>
      <w:marRight w:val="0"/>
      <w:marTop w:val="0"/>
      <w:marBottom w:val="0"/>
      <w:divBdr>
        <w:top w:val="none" w:sz="0" w:space="0" w:color="auto"/>
        <w:left w:val="none" w:sz="0" w:space="0" w:color="auto"/>
        <w:bottom w:val="none" w:sz="0" w:space="0" w:color="auto"/>
        <w:right w:val="none" w:sz="0" w:space="0" w:color="auto"/>
      </w:divBdr>
    </w:div>
    <w:div w:id="1548689051">
      <w:bodyDiv w:val="1"/>
      <w:marLeft w:val="0"/>
      <w:marRight w:val="0"/>
      <w:marTop w:val="0"/>
      <w:marBottom w:val="0"/>
      <w:divBdr>
        <w:top w:val="none" w:sz="0" w:space="0" w:color="auto"/>
        <w:left w:val="none" w:sz="0" w:space="0" w:color="auto"/>
        <w:bottom w:val="none" w:sz="0" w:space="0" w:color="auto"/>
        <w:right w:val="none" w:sz="0" w:space="0" w:color="auto"/>
      </w:divBdr>
    </w:div>
    <w:div w:id="1691951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 Type="http://schemas.openxmlformats.org/officeDocument/2006/relationships/customXml" Target="/customXML/item2.xml" Id="Rea48b8bf6dd54836"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ibbo\AppData\Local\Temp\Temp1_Corporate%20word%20documents%20and%20powerpoint%20templates%20(A5442632).zip\2018.12.07_ppt%20and%20word%20templates\Word%20Templates\DAN1048_Word_Template_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A11541727</value>
    </field>
    <field name="Objective-Title">
      <value order="0">CGD Procurement Guidelines - QRG-03 Service Level Timelines Version 0.2</value>
    </field>
    <field name="Objective-Description">
      <value order="0">Service level timelines guidelines for council</value>
    </field>
    <field name="Objective-CreationStamp">
      <value order="0">2024-11-27T00:28:25Z</value>
    </field>
    <field name="Objective-IsApproved">
      <value order="0">false</value>
    </field>
    <field name="Objective-IsPublished">
      <value order="0">true</value>
    </field>
    <field name="Objective-DatePublished">
      <value order="0">2024-11-27T00:28:27Z</value>
    </field>
    <field name="Objective-ModificationStamp">
      <value order="0">2025-04-15T22:09:31Z</value>
    </field>
    <field name="Objective-Owner">
      <value order="0">Kosta Tzim</value>
    </field>
    <field name="Objective-Path">
      <value order="0">Objective Global Folder:.Policies and Procedures Folders:Procurement procedures and guidelines:Procurement Guidelines for Business View</value>
    </field>
    <field name="Objective-Parent">
      <value order="0">Procurement Guidelines for Business View</value>
    </field>
    <field name="Objective-State">
      <value order="0">Published</value>
    </field>
    <field name="Objective-VersionId">
      <value order="0">vA14582396</value>
    </field>
    <field name="Objective-Version">
      <value order="0">1.0</value>
    </field>
    <field name="Objective-VersionNumber">
      <value order="0">1</value>
    </field>
    <field name="Objective-VersionComment">
      <value order="0"/>
    </field>
    <field name="Objective-FileNumber">
      <value order="0">qA542915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DAN1048_Word_Template_5</Template>
  <TotalTime>29</TotalTime>
  <Pages>4</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Twelve Creative</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 Sia</dc:creator>
  <cp:keywords/>
  <dc:description/>
  <cp:lastModifiedBy>Kosta Tzim</cp:lastModifiedBy>
  <cp:revision>28</cp:revision>
  <cp:lastPrinted>2018-12-07T00:36:00Z</cp:lastPrinted>
  <dcterms:created xsi:type="dcterms:W3CDTF">2024-11-11T01:44:00Z</dcterms:created>
  <dcterms:modified xsi:type="dcterms:W3CDTF">2024-11-27T00:18:00Z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A11541727</vt:lpwstr>
  </property>
  <property fmtid="{D5CDD505-2E9C-101B-9397-08002B2CF9AE}" pid="4" name="Objective-Title">
    <vt:lpwstr>CGD Procurement Guidelines - QRG-03 Service Level Timelines Version 0.2</vt:lpwstr>
  </property>
  <property fmtid="{D5CDD505-2E9C-101B-9397-08002B2CF9AE}" pid="5" name="Objective-Description">
    <vt:lpwstr>Service level timelines guidelines for council</vt:lpwstr>
  </property>
  <property fmtid="{D5CDD505-2E9C-101B-9397-08002B2CF9AE}" pid="6" name="Objective-CreationStamp">
    <vt:filetime>2024-11-27T00:28:25Z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2024-11-27T00:28:27Z</vt:filetime>
  </property>
  <property fmtid="{D5CDD505-2E9C-101B-9397-08002B2CF9AE}" pid="10" name="Objective-ModificationStamp">
    <vt:filetime>2025-04-15T22:09:31Z</vt:filetime>
  </property>
  <property fmtid="{D5CDD505-2E9C-101B-9397-08002B2CF9AE}" pid="11" name="Objective-Owner">
    <vt:lpwstr>Kosta Tzim</vt:lpwstr>
  </property>
  <property fmtid="{D5CDD505-2E9C-101B-9397-08002B2CF9AE}" pid="12" name="Objective-Path">
    <vt:lpwstr>Objective Global Folder:.Policies and Procedures Folders:Procurement procedures and guidelines:Procurement Guidelines for Business View</vt:lpwstr>
  </property>
  <property fmtid="{D5CDD505-2E9C-101B-9397-08002B2CF9AE}" pid="13" name="Objective-Parent">
    <vt:lpwstr>Procurement Guidelines for Business View</vt:lpwstr>
  </property>
  <property fmtid="{D5CDD505-2E9C-101B-9397-08002B2CF9AE}" pid="14" name="Objective-State">
    <vt:lpwstr>Published</vt:lpwstr>
  </property>
  <property fmtid="{D5CDD505-2E9C-101B-9397-08002B2CF9AE}" pid="15" name="Objective-VersionId">
    <vt:lpwstr>vA14582396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qA542915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